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eastAsia="黑体"/>
          <w:color w:val="auto"/>
          <w:sz w:val="32"/>
          <w:szCs w:val="32"/>
        </w:rPr>
      </w:pPr>
      <w:r>
        <w:rPr>
          <w:rFonts w:eastAsia="黑体"/>
          <w:color w:val="auto"/>
          <w:sz w:val="32"/>
          <w:szCs w:val="32"/>
        </w:rPr>
        <w:t>附件1</w:t>
      </w:r>
    </w:p>
    <w:p>
      <w:pPr>
        <w:jc w:val="center"/>
        <w:outlineLvl w:val="0"/>
        <w:rPr>
          <w:rFonts w:ascii="黑体" w:hAnsi="黑体" w:eastAsia="黑体"/>
          <w:color w:val="auto"/>
          <w:sz w:val="36"/>
          <w:szCs w:val="36"/>
        </w:rPr>
      </w:pPr>
      <w:r>
        <w:rPr>
          <w:rFonts w:ascii="黑体" w:hAnsi="黑体" w:eastAsia="黑体"/>
          <w:color w:val="auto"/>
          <w:sz w:val="36"/>
          <w:szCs w:val="36"/>
        </w:rPr>
        <w:t>绿色数据中心评价指标体系</w:t>
      </w:r>
    </w:p>
    <w:p>
      <w:pPr>
        <w:jc w:val="center"/>
        <w:rPr>
          <w:rFonts w:ascii="黑体" w:hAnsi="黑体" w:eastAsia="黑体" w:cs="黑体"/>
          <w:color w:val="auto"/>
          <w:sz w:val="36"/>
          <w:szCs w:val="36"/>
        </w:rPr>
      </w:pPr>
    </w:p>
    <w:p>
      <w:pPr>
        <w:pStyle w:val="5"/>
        <w:autoSpaceDE w:val="0"/>
        <w:autoSpaceDN w:val="0"/>
        <w:ind w:firstLine="640"/>
        <w:jc w:val="left"/>
        <w:outlineLvl w:val="0"/>
        <w:rPr>
          <w:rFonts w:eastAsia="黑体"/>
          <w:color w:val="auto"/>
          <w:kern w:val="0"/>
          <w:sz w:val="32"/>
          <w:szCs w:val="32"/>
        </w:rPr>
      </w:pPr>
      <w:r>
        <w:rPr>
          <w:rFonts w:eastAsia="黑体"/>
          <w:color w:val="auto"/>
          <w:kern w:val="0"/>
          <w:sz w:val="32"/>
          <w:szCs w:val="32"/>
        </w:rPr>
        <w:t>一、评价指标</w:t>
      </w:r>
      <w:r>
        <w:rPr>
          <w:rFonts w:hint="eastAsia" w:eastAsia="黑体"/>
          <w:color w:val="auto"/>
          <w:kern w:val="0"/>
          <w:sz w:val="32"/>
          <w:szCs w:val="32"/>
        </w:rPr>
        <w:t>体系</w:t>
      </w:r>
    </w:p>
    <w:p>
      <w:pPr>
        <w:pStyle w:val="6"/>
        <w:autoSpaceDE w:val="0"/>
        <w:autoSpaceDN w:val="0"/>
        <w:ind w:firstLine="640"/>
        <w:jc w:val="left"/>
        <w:rPr>
          <w:rFonts w:eastAsia="仿宋_GB2312"/>
          <w:bCs/>
          <w:color w:val="auto"/>
          <w:sz w:val="32"/>
          <w:szCs w:val="32"/>
        </w:rPr>
      </w:pPr>
      <w:r>
        <w:rPr>
          <w:rFonts w:eastAsia="仿宋_GB2312"/>
          <w:bCs/>
          <w:color w:val="auto"/>
          <w:sz w:val="32"/>
          <w:szCs w:val="32"/>
        </w:rPr>
        <w:t>绿色数据中心评价指标</w:t>
      </w:r>
      <w:r>
        <w:rPr>
          <w:rFonts w:hint="eastAsia" w:eastAsia="仿宋_GB2312"/>
          <w:bCs/>
          <w:color w:val="auto"/>
          <w:sz w:val="32"/>
          <w:szCs w:val="32"/>
        </w:rPr>
        <w:t>体系由能源资源</w:t>
      </w:r>
      <w:r>
        <w:rPr>
          <w:rFonts w:hint="eastAsia" w:eastAsia="仿宋_GB2312"/>
          <w:bCs/>
          <w:color w:val="auto"/>
          <w:sz w:val="32"/>
          <w:szCs w:val="32"/>
          <w:lang w:eastAsia="zh-CN"/>
        </w:rPr>
        <w:t>高效利用</w:t>
      </w:r>
      <w:r>
        <w:rPr>
          <w:rFonts w:hint="eastAsia" w:eastAsia="仿宋_GB2312"/>
          <w:bCs/>
          <w:color w:val="auto"/>
          <w:sz w:val="32"/>
          <w:szCs w:val="32"/>
        </w:rPr>
        <w:t>情况</w:t>
      </w:r>
      <w:r>
        <w:rPr>
          <w:rFonts w:hint="eastAsia" w:eastAsia="仿宋_GB2312"/>
          <w:color w:val="auto"/>
          <w:kern w:val="0"/>
          <w:sz w:val="32"/>
          <w:szCs w:val="32"/>
        </w:rPr>
        <w:t>、绿色设计及绿色采购、能源资源使用管理、设备绿色管理和加分项</w:t>
      </w:r>
      <w:r>
        <w:rPr>
          <w:rFonts w:eastAsia="仿宋_GB2312"/>
          <w:color w:val="auto"/>
          <w:kern w:val="0"/>
          <w:sz w:val="32"/>
          <w:szCs w:val="32"/>
        </w:rPr>
        <w:t>等</w:t>
      </w:r>
      <w:r>
        <w:rPr>
          <w:rFonts w:hint="eastAsia" w:eastAsia="仿宋_GB2312"/>
          <w:bCs/>
          <w:color w:val="auto"/>
          <w:sz w:val="32"/>
          <w:szCs w:val="32"/>
        </w:rPr>
        <w:t>5</w:t>
      </w:r>
      <w:r>
        <w:rPr>
          <w:rFonts w:eastAsia="仿宋_GB2312"/>
          <w:bCs/>
          <w:color w:val="auto"/>
          <w:sz w:val="32"/>
          <w:szCs w:val="32"/>
        </w:rPr>
        <w:t>个方面、</w:t>
      </w:r>
      <w:r>
        <w:rPr>
          <w:rFonts w:hint="eastAsia" w:eastAsia="仿宋_GB2312"/>
          <w:bCs/>
          <w:color w:val="auto"/>
          <w:sz w:val="32"/>
          <w:szCs w:val="32"/>
        </w:rPr>
        <w:t>17</w:t>
      </w:r>
      <w:r>
        <w:rPr>
          <w:rFonts w:eastAsia="仿宋_GB2312"/>
          <w:bCs/>
          <w:color w:val="auto"/>
          <w:sz w:val="32"/>
          <w:szCs w:val="32"/>
        </w:rPr>
        <w:t>个指标项组成，具体详见下表。</w:t>
      </w:r>
    </w:p>
    <w:p>
      <w:pPr>
        <w:tabs>
          <w:tab w:val="center" w:pos="6663"/>
        </w:tabs>
        <w:jc w:val="center"/>
        <w:rPr>
          <w:rFonts w:eastAsia="仿宋_GB2312"/>
          <w:b/>
          <w:bCs/>
          <w:color w:val="auto"/>
          <w:sz w:val="30"/>
          <w:szCs w:val="30"/>
        </w:rPr>
      </w:pPr>
      <w:r>
        <w:rPr>
          <w:rFonts w:eastAsia="仿宋_GB2312"/>
          <w:b/>
          <w:bCs/>
          <w:color w:val="auto"/>
          <w:sz w:val="30"/>
          <w:szCs w:val="30"/>
        </w:rPr>
        <w:t>表1 绿色数据中心评价指标表</w:t>
      </w:r>
    </w:p>
    <w:tbl>
      <w:tblPr>
        <w:tblStyle w:val="3"/>
        <w:tblW w:w="0" w:type="auto"/>
        <w:jc w:val="center"/>
        <w:tblLayout w:type="fixed"/>
        <w:tblCellMar>
          <w:top w:w="0" w:type="dxa"/>
          <w:left w:w="0" w:type="dxa"/>
          <w:bottom w:w="0" w:type="dxa"/>
          <w:right w:w="0" w:type="dxa"/>
        </w:tblCellMar>
      </w:tblPr>
      <w:tblGrid>
        <w:gridCol w:w="972"/>
        <w:gridCol w:w="4801"/>
        <w:gridCol w:w="1296"/>
      </w:tblGrid>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jc w:val="center"/>
              <w:rPr>
                <w:rFonts w:eastAsia="仿宋_GB2312"/>
                <w:b/>
                <w:bCs/>
                <w:color w:val="auto"/>
                <w:kern w:val="0"/>
                <w:sz w:val="24"/>
                <w:szCs w:val="24"/>
              </w:rPr>
            </w:pPr>
            <w:r>
              <w:rPr>
                <w:rFonts w:eastAsia="仿宋_GB2312"/>
                <w:b/>
                <w:bCs/>
                <w:color w:val="auto"/>
                <w:kern w:val="0"/>
                <w:sz w:val="24"/>
                <w:szCs w:val="24"/>
                <w:lang w:bidi="ar"/>
              </w:rPr>
              <w:t>序号</w:t>
            </w:r>
          </w:p>
        </w:tc>
        <w:tc>
          <w:tcPr>
            <w:tcW w:w="4801" w:type="dxa"/>
            <w:tcBorders>
              <w:top w:val="single" w:color="000000" w:sz="8" w:space="0"/>
              <w:left w:val="single" w:color="000000" w:sz="8" w:space="0"/>
              <w:bottom w:val="single" w:color="000000" w:sz="8" w:space="0"/>
              <w:right w:val="single" w:color="auto" w:sz="4" w:space="0"/>
            </w:tcBorders>
            <w:noWrap w:val="0"/>
            <w:tcMar>
              <w:top w:w="12" w:type="dxa"/>
              <w:left w:w="12" w:type="dxa"/>
              <w:right w:w="12" w:type="dxa"/>
            </w:tcMar>
            <w:vAlign w:val="center"/>
          </w:tcPr>
          <w:p>
            <w:pPr>
              <w:widowControl/>
              <w:jc w:val="center"/>
              <w:rPr>
                <w:rFonts w:eastAsia="仿宋_GB2312"/>
                <w:b/>
                <w:bCs/>
                <w:color w:val="auto"/>
                <w:kern w:val="0"/>
                <w:sz w:val="24"/>
                <w:szCs w:val="24"/>
              </w:rPr>
            </w:pPr>
            <w:r>
              <w:rPr>
                <w:rFonts w:eastAsia="仿宋_GB2312"/>
                <w:b/>
                <w:bCs/>
                <w:color w:val="auto"/>
                <w:kern w:val="0"/>
                <w:sz w:val="24"/>
                <w:szCs w:val="24"/>
                <w:lang w:bidi="ar"/>
              </w:rPr>
              <w:t>指标</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rPr>
                <w:rFonts w:eastAsia="仿宋_GB2312"/>
                <w:b/>
                <w:bCs/>
                <w:color w:val="auto"/>
                <w:kern w:val="0"/>
                <w:sz w:val="24"/>
                <w:szCs w:val="24"/>
              </w:rPr>
            </w:pPr>
            <w:r>
              <w:rPr>
                <w:rFonts w:eastAsia="仿宋_GB2312"/>
                <w:b/>
                <w:bCs/>
                <w:color w:val="auto"/>
                <w:kern w:val="0"/>
                <w:sz w:val="24"/>
                <w:szCs w:val="24"/>
                <w:lang w:bidi="ar"/>
              </w:rPr>
              <w:t>权重分值</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一、能源资源</w:t>
            </w:r>
            <w:r>
              <w:rPr>
                <w:rFonts w:hint="eastAsia" w:eastAsia="黑体"/>
                <w:color w:val="auto"/>
                <w:kern w:val="0"/>
                <w:sz w:val="24"/>
                <w:szCs w:val="24"/>
                <w:lang w:eastAsia="zh-CN" w:bidi="ar"/>
              </w:rPr>
              <w:t>高效利用</w:t>
            </w:r>
            <w:r>
              <w:rPr>
                <w:rFonts w:eastAsia="黑体"/>
                <w:color w:val="auto"/>
                <w:kern w:val="0"/>
                <w:sz w:val="24"/>
                <w:szCs w:val="24"/>
                <w:lang w:bidi="ar"/>
              </w:rPr>
              <w:t>情况</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1</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Style w:val="7"/>
                <w:rFonts w:ascii="Times New Roman" w:cs="Times New Roman"/>
                <w:color w:val="auto"/>
                <w:kern w:val="0"/>
                <w:lang w:bidi="ar"/>
              </w:rPr>
              <w:t>电能利用效率（</w:t>
            </w:r>
            <w:r>
              <w:rPr>
                <w:rStyle w:val="8"/>
                <w:rFonts w:eastAsia="仿宋_GB2312"/>
                <w:color w:val="auto"/>
                <w:kern w:val="0"/>
                <w:lang w:bidi="ar"/>
              </w:rPr>
              <w:t>PUE)</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60</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2</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设计指标达标情况</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3</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3</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IT设备负荷使用</w:t>
            </w:r>
            <w:r>
              <w:rPr>
                <w:rFonts w:hint="eastAsia" w:eastAsia="仿宋_GB2312"/>
                <w:color w:val="auto"/>
                <w:kern w:val="0"/>
                <w:sz w:val="24"/>
                <w:szCs w:val="24"/>
                <w:lang w:bidi="ar"/>
              </w:rPr>
              <w:t>率</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3</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4</w:t>
            </w:r>
          </w:p>
        </w:tc>
        <w:tc>
          <w:tcPr>
            <w:tcW w:w="4801"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可再生能源使用比率</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lang w:bidi="ar"/>
              </w:rPr>
              <w:t>5</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rPr>
            </w:pPr>
            <w:r>
              <w:rPr>
                <w:rFonts w:eastAsia="仿宋_GB2312"/>
                <w:color w:val="auto"/>
                <w:kern w:val="0"/>
                <w:sz w:val="24"/>
                <w:szCs w:val="24"/>
                <w:lang w:bidi="ar"/>
              </w:rPr>
              <w:t>水资源</w:t>
            </w:r>
            <w:r>
              <w:rPr>
                <w:rFonts w:hint="eastAsia" w:eastAsia="仿宋_GB2312"/>
                <w:color w:val="auto"/>
                <w:kern w:val="0"/>
                <w:sz w:val="24"/>
                <w:szCs w:val="24"/>
                <w:lang w:eastAsia="zh-CN" w:bidi="ar"/>
              </w:rPr>
              <w:t>利用效</w:t>
            </w:r>
            <w:r>
              <w:rPr>
                <w:rFonts w:eastAsia="仿宋_GB2312"/>
                <w:color w:val="auto"/>
                <w:kern w:val="0"/>
                <w:sz w:val="24"/>
                <w:szCs w:val="24"/>
                <w:lang w:bidi="ar"/>
              </w:rPr>
              <w:t>率</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二、绿色设计及绿色采购</w:t>
            </w:r>
          </w:p>
        </w:tc>
      </w:tr>
      <w:tr>
        <w:tblPrEx>
          <w:tblCellMar>
            <w:top w:w="0" w:type="dxa"/>
            <w:left w:w="0" w:type="dxa"/>
            <w:bottom w:w="0" w:type="dxa"/>
            <w:right w:w="0" w:type="dxa"/>
          </w:tblCellMar>
        </w:tblPrEx>
        <w:trPr>
          <w:trHeight w:val="327" w:hRule="atLeast"/>
          <w:jc w:val="center"/>
        </w:trPr>
        <w:tc>
          <w:tcPr>
            <w:tcW w:w="972"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6</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绿色先进适用技术产品应用</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rFonts w:hint="eastAsia" w:eastAsia="宋体"/>
                <w:color w:val="auto"/>
                <w:kern w:val="0"/>
                <w:sz w:val="24"/>
                <w:szCs w:val="24"/>
                <w:lang w:eastAsia="zh-CN" w:bidi="ar"/>
              </w:rPr>
            </w:pPr>
            <w:r>
              <w:rPr>
                <w:rFonts w:hint="eastAsia"/>
                <w:color w:val="auto"/>
                <w:kern w:val="0"/>
                <w:sz w:val="24"/>
                <w:szCs w:val="24"/>
                <w:lang w:val="en-US" w:eastAsia="zh-CN" w:bidi="ar"/>
              </w:rPr>
              <w:t>7</w:t>
            </w:r>
          </w:p>
        </w:tc>
      </w:tr>
      <w:tr>
        <w:tblPrEx>
          <w:tblCellMar>
            <w:top w:w="0" w:type="dxa"/>
            <w:left w:w="0" w:type="dxa"/>
            <w:bottom w:w="0" w:type="dxa"/>
            <w:right w:w="0" w:type="dxa"/>
          </w:tblCellMar>
        </w:tblPrEx>
        <w:trPr>
          <w:trHeight w:val="327" w:hRule="atLeast"/>
          <w:jc w:val="center"/>
        </w:trPr>
        <w:tc>
          <w:tcPr>
            <w:tcW w:w="972"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7</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清洁能源利用系统</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rFonts w:hint="eastAsia" w:eastAsia="宋体"/>
                <w:color w:val="auto"/>
                <w:kern w:val="0"/>
                <w:sz w:val="24"/>
                <w:szCs w:val="24"/>
                <w:lang w:eastAsia="zh-CN" w:bidi="ar"/>
              </w:rPr>
            </w:pPr>
            <w:r>
              <w:rPr>
                <w:rFonts w:hint="eastAsia"/>
                <w:color w:val="auto"/>
                <w:kern w:val="0"/>
                <w:sz w:val="24"/>
                <w:szCs w:val="24"/>
                <w:lang w:val="en-US" w:eastAsia="zh-CN" w:bidi="ar"/>
              </w:rPr>
              <w:t>5</w:t>
            </w:r>
          </w:p>
        </w:tc>
      </w:tr>
      <w:tr>
        <w:tblPrEx>
          <w:tblCellMar>
            <w:top w:w="0" w:type="dxa"/>
            <w:left w:w="0" w:type="dxa"/>
            <w:bottom w:w="0" w:type="dxa"/>
            <w:right w:w="0" w:type="dxa"/>
          </w:tblCellMar>
        </w:tblPrEx>
        <w:trPr>
          <w:trHeight w:val="327" w:hRule="atLeast"/>
          <w:jc w:val="center"/>
        </w:trPr>
        <w:tc>
          <w:tcPr>
            <w:tcW w:w="972" w:type="dxa"/>
            <w:tcBorders>
              <w:top w:val="nil"/>
              <w:left w:val="single" w:color="000000" w:sz="8" w:space="0"/>
              <w:bottom w:val="single" w:color="000000" w:sz="8" w:space="0"/>
              <w:right w:val="nil"/>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8</w:t>
            </w:r>
          </w:p>
        </w:tc>
        <w:tc>
          <w:tcPr>
            <w:tcW w:w="4801"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绿色采购</w:t>
            </w:r>
          </w:p>
        </w:tc>
        <w:tc>
          <w:tcPr>
            <w:tcW w:w="129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三、能源资源</w:t>
            </w:r>
            <w:r>
              <w:rPr>
                <w:rFonts w:hint="eastAsia" w:eastAsia="黑体"/>
                <w:color w:val="auto"/>
                <w:kern w:val="0"/>
                <w:sz w:val="24"/>
                <w:szCs w:val="24"/>
                <w:lang w:eastAsia="zh-CN" w:bidi="ar"/>
              </w:rPr>
              <w:t>绿色</w:t>
            </w:r>
            <w:r>
              <w:rPr>
                <w:rFonts w:eastAsia="黑体"/>
                <w:color w:val="auto"/>
                <w:kern w:val="0"/>
                <w:sz w:val="24"/>
                <w:szCs w:val="24"/>
                <w:lang w:bidi="ar"/>
              </w:rPr>
              <w:t>管理</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single" w:color="auto" w:sz="4" w:space="0"/>
              <w:right w:val="single" w:color="000000" w:sz="8"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9</w:t>
            </w:r>
          </w:p>
        </w:tc>
        <w:tc>
          <w:tcPr>
            <w:tcW w:w="4801"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能源使用管控</w:t>
            </w:r>
          </w:p>
        </w:tc>
        <w:tc>
          <w:tcPr>
            <w:tcW w:w="1296"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4</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10</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水资源使用管控</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11</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节能诊断服务</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000000" w:sz="8" w:space="0"/>
              <w:bottom w:val="nil"/>
              <w:right w:val="single" w:color="000000" w:sz="8"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12</w:t>
            </w:r>
          </w:p>
        </w:tc>
        <w:tc>
          <w:tcPr>
            <w:tcW w:w="4801" w:type="dxa"/>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第三方评测</w:t>
            </w:r>
          </w:p>
        </w:tc>
        <w:tc>
          <w:tcPr>
            <w:tcW w:w="1296" w:type="dxa"/>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四、设备绿色管理</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single" w:color="auto" w:sz="4" w:space="0"/>
              <w:right w:val="single" w:color="000000" w:sz="8"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13</w:t>
            </w:r>
          </w:p>
        </w:tc>
        <w:tc>
          <w:tcPr>
            <w:tcW w:w="4801" w:type="dxa"/>
            <w:tcBorders>
              <w:top w:val="single" w:color="000000" w:sz="8" w:space="0"/>
              <w:left w:val="single" w:color="000000" w:sz="8" w:space="0"/>
              <w:bottom w:val="single" w:color="auto" w:sz="4" w:space="0"/>
              <w:right w:val="single" w:color="000000" w:sz="8"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电器电子产品有害物质限制使用管理</w:t>
            </w:r>
          </w:p>
        </w:tc>
        <w:tc>
          <w:tcPr>
            <w:tcW w:w="1296"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14</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废旧电器电子产品处理</w:t>
            </w:r>
          </w:p>
        </w:tc>
        <w:tc>
          <w:tcPr>
            <w:tcW w:w="1296" w:type="dxa"/>
            <w:tcBorders>
              <w:top w:val="nil"/>
              <w:left w:val="single" w:color="auto" w:sz="4" w:space="0"/>
              <w:bottom w:val="single" w:color="auto" w:sz="4"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972" w:type="dxa"/>
            <w:tcBorders>
              <w:top w:val="single" w:color="auto" w:sz="4" w:space="0"/>
              <w:left w:val="single" w:color="000000" w:sz="8" w:space="0"/>
              <w:bottom w:val="nil"/>
              <w:right w:val="single" w:color="auto" w:sz="4" w:space="0"/>
            </w:tcBorders>
            <w:noWrap w:val="0"/>
            <w:tcMar>
              <w:top w:w="12" w:type="dxa"/>
              <w:left w:w="12" w:type="dxa"/>
              <w:right w:w="12" w:type="dxa"/>
            </w:tcMar>
            <w:vAlign w:val="center"/>
          </w:tcPr>
          <w:p>
            <w:pPr>
              <w:widowControl/>
              <w:jc w:val="center"/>
              <w:textAlignment w:val="center"/>
              <w:rPr>
                <w:rFonts w:eastAsia="等线"/>
                <w:color w:val="auto"/>
                <w:sz w:val="24"/>
                <w:szCs w:val="24"/>
              </w:rPr>
            </w:pPr>
            <w:r>
              <w:rPr>
                <w:rFonts w:eastAsia="等线"/>
                <w:color w:val="auto"/>
                <w:kern w:val="0"/>
                <w:sz w:val="24"/>
                <w:szCs w:val="24"/>
                <w:lang w:bidi="ar"/>
              </w:rPr>
              <w:t>15</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eastAsia="仿宋_GB2312"/>
                <w:color w:val="auto"/>
                <w:kern w:val="0"/>
                <w:sz w:val="24"/>
                <w:szCs w:val="24"/>
                <w:lang w:bidi="ar"/>
              </w:rPr>
              <w:t>废弃物处理</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r>
        <w:tblPrEx>
          <w:tblCellMar>
            <w:top w:w="0" w:type="dxa"/>
            <w:left w:w="0" w:type="dxa"/>
            <w:bottom w:w="0" w:type="dxa"/>
            <w:right w:w="0" w:type="dxa"/>
          </w:tblCellMar>
        </w:tblPrEx>
        <w:trPr>
          <w:trHeight w:val="327" w:hRule="atLeast"/>
          <w:jc w:val="center"/>
        </w:trPr>
        <w:tc>
          <w:tcPr>
            <w:tcW w:w="7069"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widowControl/>
              <w:textAlignment w:val="center"/>
              <w:rPr>
                <w:rFonts w:ascii="黑体" w:hAnsi="宋体" w:eastAsia="黑体" w:cs="黑体"/>
                <w:color w:val="auto"/>
                <w:sz w:val="24"/>
                <w:szCs w:val="24"/>
              </w:rPr>
            </w:pPr>
            <w:r>
              <w:rPr>
                <w:rFonts w:eastAsia="黑体"/>
                <w:color w:val="auto"/>
                <w:kern w:val="0"/>
                <w:sz w:val="24"/>
                <w:szCs w:val="24"/>
                <w:lang w:bidi="ar"/>
              </w:rPr>
              <w:t>五、加分项</w:t>
            </w:r>
          </w:p>
        </w:tc>
      </w:tr>
      <w:tr>
        <w:tblPrEx>
          <w:tblCellMar>
            <w:top w:w="0" w:type="dxa"/>
            <w:left w:w="0" w:type="dxa"/>
            <w:bottom w:w="0" w:type="dxa"/>
            <w:right w:w="0" w:type="dxa"/>
          </w:tblCellMar>
        </w:tblPrEx>
        <w:trPr>
          <w:trHeight w:val="327" w:hRule="atLeast"/>
          <w:jc w:val="center"/>
        </w:trPr>
        <w:tc>
          <w:tcPr>
            <w:tcW w:w="972" w:type="dxa"/>
            <w:tcBorders>
              <w:top w:val="single" w:color="000000" w:sz="8" w:space="0"/>
              <w:left w:val="single" w:color="000000" w:sz="8" w:space="0"/>
              <w:bottom w:val="nil"/>
              <w:right w:val="nil"/>
            </w:tcBorders>
            <w:noWrap w:val="0"/>
            <w:tcMar>
              <w:top w:w="12" w:type="dxa"/>
              <w:left w:w="12" w:type="dxa"/>
              <w:right w:w="12" w:type="dxa"/>
            </w:tcMar>
            <w:vAlign w:val="center"/>
          </w:tcPr>
          <w:p>
            <w:pPr>
              <w:widowControl/>
              <w:jc w:val="center"/>
              <w:textAlignment w:val="center"/>
              <w:rPr>
                <w:rFonts w:eastAsia="等线"/>
                <w:color w:val="auto"/>
                <w:kern w:val="0"/>
                <w:sz w:val="24"/>
                <w:szCs w:val="24"/>
                <w:lang w:bidi="ar"/>
              </w:rPr>
            </w:pPr>
            <w:r>
              <w:rPr>
                <w:rFonts w:eastAsia="等线"/>
                <w:color w:val="auto"/>
                <w:kern w:val="0"/>
                <w:sz w:val="24"/>
                <w:szCs w:val="24"/>
                <w:lang w:bidi="ar"/>
              </w:rPr>
              <w:t>16</w:t>
            </w:r>
          </w:p>
        </w:tc>
        <w:tc>
          <w:tcPr>
            <w:tcW w:w="4801"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rPr>
                <w:rFonts w:hint="eastAsia" w:eastAsia="仿宋_GB2312"/>
                <w:color w:val="auto"/>
                <w:kern w:val="0"/>
                <w:sz w:val="24"/>
                <w:szCs w:val="24"/>
                <w:lang w:eastAsia="zh-CN" w:bidi="ar"/>
              </w:rPr>
            </w:pPr>
            <w:r>
              <w:rPr>
                <w:rFonts w:eastAsia="仿宋_GB2312"/>
                <w:color w:val="auto"/>
                <w:kern w:val="0"/>
                <w:sz w:val="24"/>
                <w:szCs w:val="24"/>
                <w:lang w:bidi="ar"/>
              </w:rPr>
              <w:t>可再生能源电力消纳</w:t>
            </w:r>
            <w:r>
              <w:rPr>
                <w:rFonts w:hint="eastAsia" w:eastAsia="仿宋_GB2312"/>
                <w:color w:val="auto"/>
                <w:kern w:val="0"/>
                <w:sz w:val="24"/>
                <w:szCs w:val="24"/>
                <w:lang w:eastAsia="zh-CN" w:bidi="ar"/>
              </w:rPr>
              <w:t>、</w:t>
            </w:r>
            <w:r>
              <w:rPr>
                <w:rFonts w:eastAsia="仿宋_GB2312"/>
                <w:color w:val="auto"/>
                <w:kern w:val="0"/>
                <w:sz w:val="24"/>
                <w:szCs w:val="24"/>
                <w:lang w:bidi="ar"/>
              </w:rPr>
              <w:t>绿色电力证书消费</w:t>
            </w:r>
            <w:r>
              <w:rPr>
                <w:rFonts w:hint="eastAsia" w:eastAsia="仿宋_GB2312"/>
                <w:color w:val="auto"/>
                <w:kern w:val="0"/>
                <w:sz w:val="24"/>
                <w:szCs w:val="24"/>
                <w:lang w:eastAsia="zh-CN" w:bidi="ar"/>
              </w:rPr>
              <w:t>、余热回收、电池梯级利用等综合能源利用</w:t>
            </w:r>
          </w:p>
        </w:tc>
        <w:tc>
          <w:tcPr>
            <w:tcW w:w="1296" w:type="dxa"/>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3</w:t>
            </w:r>
          </w:p>
        </w:tc>
      </w:tr>
      <w:tr>
        <w:tblPrEx>
          <w:tblCellMar>
            <w:top w:w="0" w:type="dxa"/>
            <w:left w:w="0" w:type="dxa"/>
            <w:bottom w:w="0" w:type="dxa"/>
            <w:right w:w="0"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eastAsia="等线"/>
                <w:color w:val="auto"/>
                <w:kern w:val="0"/>
                <w:sz w:val="24"/>
                <w:szCs w:val="24"/>
                <w:lang w:bidi="ar"/>
              </w:rPr>
            </w:pPr>
            <w:r>
              <w:rPr>
                <w:rFonts w:eastAsia="等线"/>
                <w:color w:val="auto"/>
                <w:kern w:val="0"/>
                <w:sz w:val="24"/>
                <w:szCs w:val="24"/>
                <w:lang w:bidi="ar"/>
              </w:rPr>
              <w:t>17</w:t>
            </w:r>
          </w:p>
        </w:tc>
        <w:tc>
          <w:tcPr>
            <w:tcW w:w="48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rPr>
                <w:rFonts w:eastAsia="仿宋_GB2312"/>
                <w:color w:val="auto"/>
                <w:kern w:val="0"/>
                <w:sz w:val="24"/>
                <w:szCs w:val="24"/>
                <w:lang w:bidi="ar"/>
              </w:rPr>
            </w:pPr>
            <w:r>
              <w:rPr>
                <w:rFonts w:hint="eastAsia" w:eastAsia="仿宋_GB2312"/>
                <w:color w:val="auto"/>
                <w:kern w:val="0"/>
                <w:sz w:val="24"/>
                <w:szCs w:val="24"/>
                <w:lang w:eastAsia="zh-CN" w:bidi="ar"/>
              </w:rPr>
              <w:t>标准等</w:t>
            </w:r>
            <w:r>
              <w:rPr>
                <w:rFonts w:eastAsia="仿宋_GB2312"/>
                <w:color w:val="auto"/>
                <w:kern w:val="0"/>
                <w:sz w:val="24"/>
                <w:szCs w:val="24"/>
                <w:lang w:bidi="ar"/>
              </w:rPr>
              <w:t>绿色公共服务</w:t>
            </w:r>
          </w:p>
        </w:tc>
        <w:tc>
          <w:tcPr>
            <w:tcW w:w="12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tabs>
                <w:tab w:val="center" w:pos="1222"/>
                <w:tab w:val="right" w:pos="2324"/>
              </w:tabs>
              <w:snapToGrid w:val="0"/>
              <w:spacing w:line="288" w:lineRule="auto"/>
              <w:jc w:val="center"/>
              <w:rPr>
                <w:color w:val="auto"/>
                <w:kern w:val="0"/>
                <w:sz w:val="24"/>
                <w:szCs w:val="24"/>
                <w:lang w:bidi="ar"/>
              </w:rPr>
            </w:pPr>
            <w:r>
              <w:rPr>
                <w:color w:val="auto"/>
                <w:kern w:val="0"/>
                <w:sz w:val="24"/>
                <w:szCs w:val="24"/>
                <w:lang w:bidi="ar"/>
              </w:rPr>
              <w:t>2</w:t>
            </w:r>
          </w:p>
        </w:tc>
      </w:tr>
    </w:tbl>
    <w:p>
      <w:pPr>
        <w:spacing w:before="312" w:beforeLines="100" w:line="360" w:lineRule="auto"/>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二、</w:t>
      </w:r>
      <w:r>
        <w:rPr>
          <w:rFonts w:ascii="黑体" w:hAnsi="黑体" w:eastAsia="黑体" w:cs="黑体"/>
          <w:color w:val="auto"/>
          <w:sz w:val="32"/>
          <w:szCs w:val="32"/>
        </w:rPr>
        <w:t>指标说明</w:t>
      </w:r>
      <w:r>
        <w:rPr>
          <w:rFonts w:hint="eastAsia" w:ascii="黑体" w:hAnsi="黑体" w:eastAsia="黑体" w:cs="黑体"/>
          <w:color w:val="auto"/>
          <w:sz w:val="32"/>
          <w:szCs w:val="32"/>
        </w:rPr>
        <w:t>及评分规则</w:t>
      </w:r>
    </w:p>
    <w:p>
      <w:pPr>
        <w:spacing w:line="360" w:lineRule="auto"/>
        <w:ind w:firstLine="640" w:firstLineChars="200"/>
        <w:rPr>
          <w:rFonts w:eastAsia="仿宋_GB2312"/>
          <w:color w:val="auto"/>
          <w:sz w:val="32"/>
          <w:szCs w:val="32"/>
        </w:rPr>
      </w:pPr>
      <w:r>
        <w:rPr>
          <w:rFonts w:eastAsia="仿宋_GB2312"/>
          <w:color w:val="auto"/>
          <w:sz w:val="32"/>
          <w:szCs w:val="32"/>
        </w:rPr>
        <w:t>绿色数据中心</w:t>
      </w:r>
      <w:r>
        <w:rPr>
          <w:rFonts w:hint="eastAsia" w:eastAsia="仿宋_GB2312"/>
          <w:color w:val="auto"/>
          <w:sz w:val="32"/>
          <w:szCs w:val="32"/>
        </w:rPr>
        <w:t>各</w:t>
      </w:r>
      <w:r>
        <w:rPr>
          <w:rFonts w:eastAsia="仿宋_GB2312"/>
          <w:color w:val="auto"/>
          <w:sz w:val="32"/>
          <w:szCs w:val="32"/>
        </w:rPr>
        <w:t>评价指标</w:t>
      </w:r>
      <w:r>
        <w:rPr>
          <w:rFonts w:hint="eastAsia" w:eastAsia="仿宋_GB2312"/>
          <w:color w:val="auto"/>
          <w:sz w:val="32"/>
          <w:szCs w:val="32"/>
        </w:rPr>
        <w:t>的具体指标说明及评分规则如下</w:t>
      </w:r>
      <w:r>
        <w:rPr>
          <w:rFonts w:eastAsia="仿宋_GB2312"/>
          <w:color w:val="auto"/>
          <w:sz w:val="32"/>
          <w:szCs w:val="32"/>
        </w:rPr>
        <w:t>。</w:t>
      </w:r>
    </w:p>
    <w:p>
      <w:pPr>
        <w:pStyle w:val="5"/>
        <w:spacing w:line="360" w:lineRule="auto"/>
        <w:ind w:firstLine="643"/>
        <w:rPr>
          <w:rFonts w:ascii="楷体" w:hAnsi="楷体" w:eastAsia="楷体" w:cs="楷体"/>
          <w:b/>
          <w:color w:val="auto"/>
          <w:sz w:val="32"/>
          <w:szCs w:val="32"/>
        </w:rPr>
      </w:pPr>
      <w:r>
        <w:rPr>
          <w:rFonts w:ascii="楷体" w:hAnsi="楷体" w:eastAsia="楷体" w:cs="楷体"/>
          <w:b/>
          <w:color w:val="auto"/>
          <w:sz w:val="32"/>
          <w:szCs w:val="32"/>
        </w:rPr>
        <w:t>（一）</w:t>
      </w:r>
      <w:r>
        <w:rPr>
          <w:rFonts w:hint="eastAsia" w:ascii="楷体" w:hAnsi="楷体" w:eastAsia="楷体" w:cs="楷体"/>
          <w:b/>
          <w:color w:val="auto"/>
          <w:sz w:val="32"/>
          <w:szCs w:val="32"/>
        </w:rPr>
        <w:t>能源资源</w:t>
      </w:r>
      <w:r>
        <w:rPr>
          <w:rFonts w:hint="eastAsia" w:ascii="楷体" w:hAnsi="楷体" w:eastAsia="楷体" w:cs="楷体"/>
          <w:b/>
          <w:color w:val="auto"/>
          <w:sz w:val="32"/>
          <w:szCs w:val="32"/>
          <w:lang w:eastAsia="zh-CN"/>
        </w:rPr>
        <w:t>高效利用</w:t>
      </w:r>
      <w:r>
        <w:rPr>
          <w:rFonts w:hint="eastAsia" w:ascii="楷体" w:hAnsi="楷体" w:eastAsia="楷体" w:cs="楷体"/>
          <w:b/>
          <w:color w:val="auto"/>
          <w:sz w:val="32"/>
          <w:szCs w:val="32"/>
        </w:rPr>
        <w:t>情况</w:t>
      </w:r>
    </w:p>
    <w:p>
      <w:pPr>
        <w:spacing w:line="360" w:lineRule="auto"/>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 xml:space="preserve"> 电能利用效率（PUE)</w:t>
      </w:r>
    </w:p>
    <w:p>
      <w:pPr>
        <w:spacing w:line="360" w:lineRule="auto"/>
        <w:ind w:firstLine="640" w:firstLineChars="200"/>
        <w:rPr>
          <w:rFonts w:eastAsia="仿宋_GB2312"/>
          <w:color w:val="auto"/>
          <w:sz w:val="32"/>
          <w:szCs w:val="32"/>
        </w:rPr>
      </w:pPr>
      <w:r>
        <w:rPr>
          <w:rFonts w:eastAsia="仿宋_GB2312"/>
          <w:color w:val="auto"/>
          <w:sz w:val="32"/>
          <w:szCs w:val="32"/>
        </w:rPr>
        <w:t>1.1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依据《电信互联网数据中心（IDC）的能耗测评方法》（YD/T2543-2013）规定测得的连续一年内数据中心总耗电与数据中心IT设备耗电的比值。</w:t>
      </w:r>
    </w:p>
    <w:p>
      <w:pPr>
        <w:spacing w:line="360" w:lineRule="auto"/>
        <w:ind w:firstLine="640" w:firstLineChars="200"/>
        <w:rPr>
          <w:rFonts w:eastAsia="仿宋_GB2312"/>
          <w:color w:val="auto"/>
          <w:sz w:val="32"/>
          <w:szCs w:val="32"/>
        </w:rPr>
      </w:pPr>
      <w:r>
        <w:rPr>
          <w:rFonts w:eastAsia="仿宋_GB2312"/>
          <w:color w:val="auto"/>
          <w:sz w:val="32"/>
          <w:szCs w:val="32"/>
        </w:rPr>
        <w:t>1.2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总分60分。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所申报数据中心实际得分按照公式“</w:t>
      </w:r>
      <w:r>
        <w:rPr>
          <w:rFonts w:hint="eastAsia" w:eastAsia="仿宋_GB2312"/>
          <w:color w:val="auto"/>
          <w:sz w:val="32"/>
          <w:szCs w:val="32"/>
          <w:lang w:val="en-US" w:eastAsia="zh-CN"/>
        </w:rPr>
        <w:t>100</w:t>
      </w:r>
      <w:r>
        <w:rPr>
          <w:rFonts w:hint="eastAsia" w:eastAsia="仿宋_GB2312"/>
          <w:color w:val="auto"/>
          <w:sz w:val="32"/>
          <w:szCs w:val="32"/>
        </w:rPr>
        <w:t>-</w:t>
      </w:r>
      <w:r>
        <w:rPr>
          <w:rFonts w:hint="eastAsia" w:eastAsia="仿宋_GB2312"/>
          <w:color w:val="auto"/>
          <w:sz w:val="32"/>
          <w:szCs w:val="32"/>
          <w:lang w:val="en-US" w:eastAsia="zh-CN"/>
        </w:rPr>
        <w:t>40</w:t>
      </w:r>
      <w:r>
        <w:rPr>
          <w:rFonts w:hint="eastAsia" w:eastAsia="仿宋_GB2312"/>
          <w:color w:val="auto"/>
          <w:sz w:val="32"/>
          <w:szCs w:val="32"/>
        </w:rPr>
        <w:t>×PUE”进行计算。</w:t>
      </w:r>
    </w:p>
    <w:p>
      <w:pPr>
        <w:spacing w:line="360" w:lineRule="auto"/>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 xml:space="preserve"> 设计指标达标情况</w:t>
      </w:r>
    </w:p>
    <w:p>
      <w:pPr>
        <w:spacing w:line="360" w:lineRule="auto"/>
        <w:ind w:firstLine="640" w:firstLineChars="200"/>
        <w:rPr>
          <w:rFonts w:eastAsia="仿宋_GB2312"/>
          <w:color w:val="auto"/>
          <w:sz w:val="32"/>
          <w:szCs w:val="32"/>
        </w:rPr>
      </w:pPr>
      <w:r>
        <w:rPr>
          <w:rFonts w:eastAsia="仿宋_GB2312"/>
          <w:color w:val="auto"/>
          <w:sz w:val="32"/>
          <w:szCs w:val="32"/>
        </w:rPr>
        <w:t>2.1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连续一年内数据中心实际能源资源利用水平</w:t>
      </w:r>
      <w:r>
        <w:rPr>
          <w:rFonts w:eastAsia="仿宋_GB2312"/>
          <w:color w:val="auto"/>
          <w:sz w:val="32"/>
          <w:szCs w:val="32"/>
        </w:rPr>
        <w:t>与</w:t>
      </w:r>
      <w:r>
        <w:rPr>
          <w:rFonts w:hint="eastAsia" w:eastAsia="仿宋_GB2312"/>
          <w:color w:val="auto"/>
          <w:sz w:val="32"/>
          <w:szCs w:val="32"/>
        </w:rPr>
        <w:t>设计水平</w:t>
      </w:r>
      <w:r>
        <w:rPr>
          <w:rFonts w:eastAsia="仿宋_GB2312"/>
          <w:color w:val="auto"/>
          <w:sz w:val="32"/>
          <w:szCs w:val="32"/>
        </w:rPr>
        <w:t>的比较</w:t>
      </w:r>
      <w:r>
        <w:rPr>
          <w:rFonts w:hint="eastAsia" w:eastAsia="仿宋_GB2312"/>
          <w:color w:val="auto"/>
          <w:sz w:val="32"/>
          <w:szCs w:val="32"/>
        </w:rPr>
        <w:t>。</w:t>
      </w:r>
    </w:p>
    <w:p>
      <w:pPr>
        <w:spacing w:line="360" w:lineRule="auto"/>
        <w:ind w:firstLine="640" w:firstLineChars="200"/>
        <w:rPr>
          <w:rFonts w:eastAsia="仿宋_GB2312"/>
          <w:color w:val="auto"/>
          <w:sz w:val="32"/>
          <w:szCs w:val="32"/>
        </w:rPr>
      </w:pPr>
      <w:r>
        <w:rPr>
          <w:rFonts w:eastAsia="仿宋_GB2312"/>
          <w:color w:val="auto"/>
          <w:sz w:val="32"/>
          <w:szCs w:val="32"/>
        </w:rPr>
        <w:t>2.2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总分3分。</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连续一年内所申报数据中心实际能源资源利用水平不低于相关政府部门批复的设计指标水平得3分，否则不得分。</w:t>
      </w:r>
    </w:p>
    <w:p>
      <w:pPr>
        <w:spacing w:line="360" w:lineRule="auto"/>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 xml:space="preserve"> IT设备负荷使用率</w:t>
      </w:r>
    </w:p>
    <w:p>
      <w:pPr>
        <w:spacing w:line="360" w:lineRule="auto"/>
        <w:ind w:firstLine="640" w:firstLineChars="200"/>
        <w:rPr>
          <w:rFonts w:eastAsia="仿宋_GB2312"/>
          <w:color w:val="auto"/>
          <w:sz w:val="32"/>
          <w:szCs w:val="32"/>
        </w:rPr>
      </w:pPr>
      <w:r>
        <w:rPr>
          <w:rFonts w:eastAsia="仿宋_GB2312"/>
          <w:color w:val="auto"/>
          <w:sz w:val="32"/>
          <w:szCs w:val="32"/>
        </w:rPr>
        <w:t>3.1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连续一年内数据中心机柜实际平均用电负荷功率与数据中心机柜标称平均功率的比值。</w:t>
      </w:r>
    </w:p>
    <w:p>
      <w:pPr>
        <w:spacing w:line="360" w:lineRule="auto"/>
        <w:ind w:firstLine="640" w:firstLineChars="200"/>
        <w:rPr>
          <w:rFonts w:ascii="Arial" w:hAnsi="Arial" w:eastAsia="仿宋_GB2312" w:cs="Arial"/>
          <w:color w:val="auto"/>
          <w:sz w:val="32"/>
          <w:szCs w:val="32"/>
        </w:rPr>
      </w:pPr>
      <w:r>
        <w:rPr>
          <w:rFonts w:hint="eastAsia" w:eastAsia="仿宋_GB2312"/>
          <w:color w:val="auto"/>
          <w:sz w:val="32"/>
          <w:szCs w:val="32"/>
        </w:rPr>
        <w:t>连续一年内数据中心机柜实际平均用电负荷功率=依据《电信互联网数据中心（IDC）的能耗测评方法》（YD/T2543-2013）规定测得的测量周期为1年的IT设备耗电量</w:t>
      </w:r>
      <w:r>
        <w:rPr>
          <w:rFonts w:ascii="Arial" w:hAnsi="Arial" w:eastAsia="仿宋_GB2312" w:cs="Arial"/>
          <w:color w:val="auto"/>
          <w:sz w:val="32"/>
          <w:szCs w:val="32"/>
        </w:rPr>
        <w:t>÷</w:t>
      </w:r>
      <w:r>
        <w:rPr>
          <w:rFonts w:hint="eastAsia" w:ascii="Arial" w:hAnsi="Arial" w:eastAsia="仿宋_GB2312" w:cs="Arial"/>
          <w:color w:val="auto"/>
          <w:sz w:val="32"/>
          <w:szCs w:val="32"/>
        </w:rPr>
        <w:t>总安装机柜数</w:t>
      </w:r>
      <w:r>
        <w:rPr>
          <w:rFonts w:ascii="Arial" w:hAnsi="Arial" w:eastAsia="仿宋_GB2312" w:cs="Arial"/>
          <w:color w:val="auto"/>
          <w:sz w:val="32"/>
          <w:szCs w:val="32"/>
        </w:rPr>
        <w:t>÷</w:t>
      </w:r>
      <w:r>
        <w:rPr>
          <w:rFonts w:hint="eastAsia" w:ascii="Arial" w:hAnsi="Arial" w:eastAsia="仿宋_GB2312" w:cs="Arial"/>
          <w:color w:val="auto"/>
          <w:sz w:val="32"/>
          <w:szCs w:val="32"/>
        </w:rPr>
        <w:t>8760</w:t>
      </w:r>
    </w:p>
    <w:p>
      <w:pPr>
        <w:spacing w:line="360" w:lineRule="auto"/>
        <w:ind w:firstLine="640" w:firstLineChars="200"/>
        <w:rPr>
          <w:rFonts w:ascii="Arial" w:hAnsi="Arial" w:eastAsia="仿宋_GB2312" w:cs="Arial"/>
          <w:color w:val="auto"/>
          <w:sz w:val="32"/>
          <w:szCs w:val="32"/>
        </w:rPr>
      </w:pPr>
      <w:r>
        <w:rPr>
          <w:rFonts w:hint="eastAsia" w:eastAsia="仿宋_GB2312"/>
          <w:color w:val="auto"/>
          <w:sz w:val="32"/>
          <w:szCs w:val="32"/>
        </w:rPr>
        <w:t>数据中心机柜标称平均功率=数据中心机柜标称功率总和</w:t>
      </w:r>
      <w:r>
        <w:rPr>
          <w:rFonts w:ascii="Arial" w:hAnsi="Arial" w:eastAsia="仿宋_GB2312" w:cs="Arial"/>
          <w:color w:val="auto"/>
          <w:sz w:val="32"/>
          <w:szCs w:val="32"/>
        </w:rPr>
        <w:t>÷</w:t>
      </w:r>
      <w:r>
        <w:rPr>
          <w:rFonts w:hint="eastAsia" w:ascii="Arial" w:hAnsi="Arial" w:eastAsia="仿宋_GB2312" w:cs="Arial"/>
          <w:color w:val="auto"/>
          <w:sz w:val="32"/>
          <w:szCs w:val="32"/>
        </w:rPr>
        <w:t>总安装机柜数</w:t>
      </w:r>
    </w:p>
    <w:p>
      <w:pPr>
        <w:spacing w:line="360" w:lineRule="auto"/>
        <w:ind w:firstLine="640" w:firstLineChars="200"/>
        <w:rPr>
          <w:rFonts w:eastAsia="仿宋_GB2312"/>
          <w:color w:val="auto"/>
          <w:sz w:val="32"/>
          <w:szCs w:val="32"/>
        </w:rPr>
      </w:pPr>
      <w:r>
        <w:rPr>
          <w:rFonts w:eastAsia="仿宋_GB2312"/>
          <w:color w:val="auto"/>
          <w:sz w:val="32"/>
          <w:szCs w:val="32"/>
        </w:rPr>
        <w:t>3.2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总分3分。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 IT设备负荷使用率不低于70%，得3分；低于70%但不低于50%，得2分；低于50%但不低于30%，得1分；低于30%不得分。</w:t>
      </w:r>
    </w:p>
    <w:p>
      <w:pPr>
        <w:spacing w:line="360" w:lineRule="auto"/>
        <w:ind w:firstLine="640" w:firstLineChars="200"/>
        <w:rPr>
          <w:rFonts w:eastAsia="仿宋_GB2312"/>
          <w:color w:val="auto"/>
          <w:sz w:val="32"/>
          <w:szCs w:val="32"/>
        </w:rPr>
      </w:pPr>
      <w:r>
        <w:rPr>
          <w:rFonts w:hint="eastAsia" w:eastAsia="仿宋_GB2312"/>
          <w:color w:val="auto"/>
          <w:sz w:val="32"/>
          <w:szCs w:val="32"/>
        </w:rPr>
        <w:t>4. 可再生能源使用比率</w:t>
      </w:r>
    </w:p>
    <w:p>
      <w:pPr>
        <w:spacing w:line="360" w:lineRule="auto"/>
        <w:ind w:firstLine="640" w:firstLineChars="200"/>
        <w:rPr>
          <w:rFonts w:eastAsia="仿宋_GB2312"/>
          <w:color w:val="auto"/>
          <w:sz w:val="32"/>
          <w:szCs w:val="32"/>
        </w:rPr>
      </w:pPr>
      <w:r>
        <w:rPr>
          <w:rFonts w:eastAsia="仿宋_GB2312"/>
          <w:color w:val="auto"/>
          <w:sz w:val="32"/>
          <w:szCs w:val="32"/>
        </w:rPr>
        <w:t>4.1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内数据中心通过直接购买并应用可再生能源电力、在中国绿色电力证书认购平台上认购绿色电力证书代表电量、应用自建可再生能源电站所发电力等方式使用的具有直接所有权的可再生能源电量与依据《电信互联网数据中心（IDC）的能耗测评方法》（YD/T2543-2013）规定测得的同时期内数据中心总耗电量的比值。</w:t>
      </w:r>
    </w:p>
    <w:p>
      <w:pPr>
        <w:spacing w:line="360" w:lineRule="auto"/>
        <w:ind w:firstLine="640" w:firstLineChars="200"/>
        <w:rPr>
          <w:rFonts w:eastAsia="仿宋_GB2312"/>
          <w:color w:val="auto"/>
          <w:sz w:val="32"/>
          <w:szCs w:val="32"/>
        </w:rPr>
      </w:pPr>
      <w:r>
        <w:rPr>
          <w:rFonts w:eastAsia="仿宋_GB2312"/>
          <w:color w:val="auto"/>
          <w:sz w:val="32"/>
          <w:szCs w:val="32"/>
        </w:rPr>
        <w:t>4.2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所申报数据中心可再生能源使用比率比值不低于</w:t>
      </w:r>
      <w:r>
        <w:rPr>
          <w:rFonts w:hint="eastAsia" w:eastAsia="仿宋_GB2312"/>
          <w:color w:val="auto"/>
          <w:sz w:val="32"/>
          <w:szCs w:val="32"/>
          <w:lang w:val="en-US" w:eastAsia="zh-CN"/>
        </w:rPr>
        <w:t>30</w:t>
      </w:r>
      <w:r>
        <w:rPr>
          <w:rFonts w:hint="eastAsia" w:eastAsia="仿宋_GB2312"/>
          <w:color w:val="auto"/>
          <w:sz w:val="32"/>
          <w:szCs w:val="32"/>
        </w:rPr>
        <w:t>%得2分，低于</w:t>
      </w:r>
      <w:r>
        <w:rPr>
          <w:rFonts w:hint="eastAsia" w:eastAsia="仿宋_GB2312"/>
          <w:color w:val="auto"/>
          <w:sz w:val="32"/>
          <w:szCs w:val="32"/>
          <w:lang w:val="en-US" w:eastAsia="zh-CN"/>
        </w:rPr>
        <w:t>30</w:t>
      </w:r>
      <w:r>
        <w:rPr>
          <w:rFonts w:hint="eastAsia" w:eastAsia="仿宋_GB2312"/>
          <w:color w:val="auto"/>
          <w:sz w:val="32"/>
          <w:szCs w:val="32"/>
        </w:rPr>
        <w:t>%但不低于25%，得1分。否则不得分。</w:t>
      </w:r>
    </w:p>
    <w:p>
      <w:pPr>
        <w:spacing w:line="360" w:lineRule="auto"/>
        <w:ind w:firstLine="640" w:firstLineChars="200"/>
        <w:rPr>
          <w:rFonts w:eastAsia="仿宋_GB2312"/>
          <w:color w:val="auto"/>
          <w:sz w:val="32"/>
          <w:szCs w:val="32"/>
        </w:rPr>
      </w:pPr>
      <w:r>
        <w:rPr>
          <w:rFonts w:hint="eastAsia" w:eastAsia="仿宋_GB2312"/>
          <w:color w:val="auto"/>
          <w:sz w:val="32"/>
          <w:szCs w:val="32"/>
        </w:rPr>
        <w:t>5. 水资源</w:t>
      </w:r>
      <w:r>
        <w:rPr>
          <w:rFonts w:hint="eastAsia" w:eastAsia="仿宋_GB2312"/>
          <w:color w:val="auto"/>
          <w:sz w:val="32"/>
          <w:szCs w:val="32"/>
          <w:lang w:eastAsia="zh-CN"/>
        </w:rPr>
        <w:t>利用效</w:t>
      </w:r>
      <w:r>
        <w:rPr>
          <w:rFonts w:hint="eastAsia" w:eastAsia="仿宋_GB2312"/>
          <w:color w:val="auto"/>
          <w:sz w:val="32"/>
          <w:szCs w:val="32"/>
        </w:rPr>
        <w:t>率</w:t>
      </w:r>
    </w:p>
    <w:p>
      <w:pPr>
        <w:spacing w:line="360" w:lineRule="auto"/>
        <w:ind w:firstLine="640" w:firstLineChars="200"/>
        <w:rPr>
          <w:rFonts w:eastAsia="仿宋_GB2312"/>
          <w:color w:val="auto"/>
          <w:sz w:val="32"/>
          <w:szCs w:val="32"/>
        </w:rPr>
      </w:pPr>
      <w:r>
        <w:rPr>
          <w:rFonts w:eastAsia="仿宋_GB2312"/>
          <w:color w:val="auto"/>
          <w:sz w:val="32"/>
          <w:szCs w:val="32"/>
        </w:rPr>
        <w:t>5.1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连续一年数据中心水资源消耗量与依据《电信互联网数据中心（IDC）的能耗测评方法》（YD/T2543-2013）规定测得的同时期内IT设备耗电量的比值。</w:t>
      </w:r>
    </w:p>
    <w:p>
      <w:pPr>
        <w:spacing w:line="360" w:lineRule="auto"/>
        <w:ind w:firstLine="640" w:firstLineChars="200"/>
        <w:rPr>
          <w:rFonts w:eastAsia="仿宋_GB2312"/>
          <w:color w:val="auto"/>
          <w:sz w:val="32"/>
          <w:szCs w:val="32"/>
        </w:rPr>
      </w:pPr>
      <w:r>
        <w:rPr>
          <w:rFonts w:eastAsia="仿宋_GB2312"/>
          <w:color w:val="auto"/>
          <w:sz w:val="32"/>
          <w:szCs w:val="32"/>
        </w:rPr>
        <w:t>5.2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所申报数据中心水资源</w:t>
      </w:r>
      <w:r>
        <w:rPr>
          <w:rFonts w:hint="eastAsia" w:eastAsia="仿宋_GB2312"/>
          <w:color w:val="auto"/>
          <w:sz w:val="32"/>
          <w:szCs w:val="32"/>
          <w:lang w:eastAsia="zh-CN"/>
        </w:rPr>
        <w:t>利用</w:t>
      </w:r>
      <w:r>
        <w:rPr>
          <w:rFonts w:hint="eastAsia" w:eastAsia="仿宋_GB2312"/>
          <w:color w:val="auto"/>
          <w:sz w:val="32"/>
          <w:szCs w:val="32"/>
        </w:rPr>
        <w:t>效率不高于0.6L/kW·h得2分，否则不得分。</w:t>
      </w:r>
    </w:p>
    <w:p>
      <w:pPr>
        <w:pStyle w:val="5"/>
        <w:spacing w:line="360" w:lineRule="auto"/>
        <w:ind w:firstLine="643"/>
        <w:rPr>
          <w:rFonts w:ascii="楷体" w:hAnsi="楷体" w:eastAsia="楷体" w:cs="楷体"/>
          <w:b/>
          <w:color w:val="auto"/>
          <w:sz w:val="32"/>
          <w:szCs w:val="32"/>
        </w:rPr>
      </w:pPr>
      <w:r>
        <w:rPr>
          <w:rFonts w:hint="eastAsia" w:ascii="楷体" w:hAnsi="楷体" w:eastAsia="楷体" w:cs="楷体"/>
          <w:b/>
          <w:color w:val="auto"/>
          <w:sz w:val="32"/>
          <w:szCs w:val="32"/>
        </w:rPr>
        <w:t>（二）绿色设计及</w:t>
      </w:r>
      <w:r>
        <w:rPr>
          <w:rFonts w:ascii="楷体" w:hAnsi="楷体" w:eastAsia="楷体" w:cs="楷体"/>
          <w:b/>
          <w:color w:val="auto"/>
          <w:sz w:val="32"/>
          <w:szCs w:val="32"/>
        </w:rPr>
        <w:t>绿色采购</w:t>
      </w:r>
    </w:p>
    <w:p>
      <w:pPr>
        <w:spacing w:line="360" w:lineRule="auto"/>
        <w:ind w:firstLine="640" w:firstLineChars="200"/>
        <w:rPr>
          <w:rFonts w:eastAsia="仿宋_GB2312"/>
          <w:color w:val="auto"/>
          <w:sz w:val="32"/>
          <w:szCs w:val="32"/>
        </w:rPr>
      </w:pPr>
      <w:r>
        <w:rPr>
          <w:rFonts w:hint="eastAsia" w:eastAsia="仿宋_GB2312"/>
          <w:color w:val="auto"/>
          <w:sz w:val="32"/>
          <w:szCs w:val="32"/>
        </w:rPr>
        <w:t>6</w:t>
      </w:r>
      <w:r>
        <w:rPr>
          <w:rFonts w:eastAsia="仿宋_GB2312"/>
          <w:color w:val="auto"/>
          <w:sz w:val="32"/>
          <w:szCs w:val="32"/>
        </w:rPr>
        <w:t>.</w:t>
      </w:r>
      <w:r>
        <w:rPr>
          <w:rFonts w:hint="eastAsia" w:eastAsia="仿宋_GB2312"/>
          <w:color w:val="auto"/>
          <w:sz w:val="32"/>
          <w:szCs w:val="32"/>
        </w:rPr>
        <w:t xml:space="preserve"> 绿色先进适用技术产品应用</w:t>
      </w:r>
    </w:p>
    <w:p>
      <w:pPr>
        <w:spacing w:line="360" w:lineRule="auto"/>
        <w:ind w:firstLine="640" w:firstLineChars="200"/>
        <w:rPr>
          <w:rFonts w:eastAsia="仿宋_GB2312"/>
          <w:color w:val="auto"/>
          <w:sz w:val="32"/>
          <w:szCs w:val="32"/>
        </w:rPr>
      </w:pPr>
      <w:r>
        <w:rPr>
          <w:rFonts w:eastAsia="仿宋_GB2312"/>
          <w:color w:val="auto"/>
          <w:sz w:val="32"/>
          <w:szCs w:val="32"/>
        </w:rPr>
        <w:t>6.1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eastAsia="仿宋_GB2312"/>
          <w:color w:val="auto"/>
          <w:sz w:val="32"/>
          <w:szCs w:val="32"/>
        </w:rPr>
        <w:t>采用先进绿色节能技术</w:t>
      </w:r>
      <w:r>
        <w:rPr>
          <w:rFonts w:hint="eastAsia" w:eastAsia="仿宋_GB2312"/>
          <w:color w:val="auto"/>
          <w:sz w:val="32"/>
          <w:szCs w:val="32"/>
        </w:rPr>
        <w:t>产品及</w:t>
      </w:r>
      <w:r>
        <w:rPr>
          <w:rFonts w:hint="eastAsia" w:eastAsia="仿宋_GB2312"/>
          <w:color w:val="auto"/>
          <w:sz w:val="32"/>
          <w:szCs w:val="32"/>
          <w:lang w:eastAsia="zh-CN"/>
        </w:rPr>
        <w:t>工业和信息化</w:t>
      </w:r>
      <w:r>
        <w:rPr>
          <w:rFonts w:eastAsia="仿宋_GB2312"/>
          <w:color w:val="auto"/>
          <w:sz w:val="32"/>
          <w:szCs w:val="32"/>
        </w:rPr>
        <w:t>部发布的</w:t>
      </w:r>
      <w:r>
        <w:rPr>
          <w:rFonts w:hint="eastAsia" w:eastAsia="仿宋_GB2312"/>
          <w:color w:val="auto"/>
          <w:sz w:val="32"/>
          <w:szCs w:val="32"/>
          <w:lang w:eastAsia="zh-CN"/>
        </w:rPr>
        <w:t>近</w:t>
      </w:r>
      <w:r>
        <w:rPr>
          <w:rFonts w:hint="eastAsia" w:eastAsia="仿宋_GB2312"/>
          <w:color w:val="auto"/>
          <w:sz w:val="32"/>
          <w:szCs w:val="32"/>
          <w:lang w:val="en-US" w:eastAsia="zh-CN"/>
        </w:rPr>
        <w:t>3年</w:t>
      </w:r>
      <w:r>
        <w:rPr>
          <w:rFonts w:eastAsia="仿宋_GB2312"/>
          <w:color w:val="auto"/>
          <w:sz w:val="32"/>
          <w:szCs w:val="32"/>
        </w:rPr>
        <w:t>《</w:t>
      </w:r>
      <w:r>
        <w:rPr>
          <w:rFonts w:hint="eastAsia" w:eastAsia="仿宋_GB2312"/>
          <w:color w:val="auto"/>
          <w:sz w:val="32"/>
          <w:szCs w:val="32"/>
          <w:lang w:eastAsia="zh-CN"/>
        </w:rPr>
        <w:t>国家</w:t>
      </w:r>
      <w:r>
        <w:rPr>
          <w:rFonts w:eastAsia="仿宋_GB2312"/>
          <w:color w:val="auto"/>
          <w:sz w:val="32"/>
          <w:szCs w:val="32"/>
        </w:rPr>
        <w:t>绿色数据中心先进适用技术产品目录》</w:t>
      </w:r>
      <w:r>
        <w:rPr>
          <w:rFonts w:hint="eastAsia" w:eastAsia="仿宋_GB2312"/>
          <w:color w:val="auto"/>
          <w:sz w:val="32"/>
          <w:szCs w:val="32"/>
        </w:rPr>
        <w:t>相关</w:t>
      </w:r>
      <w:r>
        <w:rPr>
          <w:rFonts w:eastAsia="仿宋_GB2312"/>
          <w:color w:val="auto"/>
          <w:sz w:val="32"/>
          <w:szCs w:val="32"/>
        </w:rPr>
        <w:t>技术</w:t>
      </w:r>
      <w:r>
        <w:rPr>
          <w:rFonts w:hint="eastAsia" w:eastAsia="仿宋_GB2312"/>
          <w:color w:val="auto"/>
          <w:sz w:val="32"/>
          <w:szCs w:val="32"/>
        </w:rPr>
        <w:t>产品建设数据中心。</w:t>
      </w:r>
    </w:p>
    <w:p>
      <w:pPr>
        <w:spacing w:line="360" w:lineRule="auto"/>
        <w:ind w:firstLine="640" w:firstLineChars="200"/>
        <w:rPr>
          <w:rFonts w:eastAsia="仿宋_GB2312"/>
          <w:color w:val="auto"/>
          <w:sz w:val="32"/>
          <w:szCs w:val="32"/>
        </w:rPr>
      </w:pPr>
      <w:r>
        <w:rPr>
          <w:rFonts w:eastAsia="仿宋_GB2312"/>
          <w:color w:val="auto"/>
          <w:sz w:val="32"/>
          <w:szCs w:val="32"/>
        </w:rPr>
        <w:t>6.2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w:t>
      </w:r>
      <w:r>
        <w:rPr>
          <w:rFonts w:hint="eastAsia" w:eastAsia="仿宋_GB2312"/>
          <w:color w:val="auto"/>
          <w:sz w:val="32"/>
          <w:szCs w:val="32"/>
          <w:lang w:val="en-US" w:eastAsia="zh-CN"/>
        </w:rPr>
        <w:t>7</w:t>
      </w:r>
      <w:r>
        <w:rPr>
          <w:rFonts w:hint="eastAsia" w:eastAsia="仿宋_GB2312"/>
          <w:color w:val="auto"/>
          <w:sz w:val="32"/>
          <w:szCs w:val="32"/>
        </w:rPr>
        <w:t>分。</w:t>
      </w:r>
    </w:p>
    <w:p>
      <w:pPr>
        <w:spacing w:line="360" w:lineRule="auto"/>
        <w:ind w:firstLine="640" w:firstLineChars="200"/>
        <w:rPr>
          <w:rFonts w:eastAsia="仿宋_GB2312"/>
          <w:color w:val="auto"/>
          <w:sz w:val="32"/>
          <w:szCs w:val="32"/>
        </w:rPr>
      </w:pPr>
      <w:r>
        <w:rPr>
          <w:rFonts w:eastAsia="仿宋_GB2312"/>
          <w:color w:val="auto"/>
          <w:sz w:val="32"/>
          <w:szCs w:val="32"/>
        </w:rPr>
        <w:t>6.2.1</w:t>
      </w:r>
      <w:r>
        <w:rPr>
          <w:rFonts w:hint="eastAsia" w:eastAsia="仿宋_GB2312"/>
          <w:color w:val="auto"/>
          <w:sz w:val="32"/>
          <w:szCs w:val="32"/>
        </w:rPr>
        <w:t>所申报数据中心冷源均选用能效限定值及能效等级国家标准评定达到能效等级1级的产品得2分。选用能效等级2级以上产品得1分。如使用有能效等级2级以下产品则不得分。如：冷水机组按《冷水机组能效限定值及能效等级》（GB19577-2015）评定。对于暂时无相应国家标准的产品，可参照行业标准或行业公认的相关行业协会制定的能效标准评定。</w:t>
      </w:r>
    </w:p>
    <w:p>
      <w:pPr>
        <w:spacing w:line="360" w:lineRule="auto"/>
        <w:ind w:firstLine="640" w:firstLineChars="200"/>
        <w:rPr>
          <w:rFonts w:eastAsia="仿宋_GB2312"/>
          <w:color w:val="auto"/>
          <w:sz w:val="32"/>
          <w:szCs w:val="32"/>
        </w:rPr>
      </w:pPr>
      <w:r>
        <w:rPr>
          <w:rFonts w:eastAsia="仿宋_GB2312"/>
          <w:color w:val="auto"/>
          <w:sz w:val="32"/>
          <w:szCs w:val="32"/>
        </w:rPr>
        <w:t>6.2.2</w:t>
      </w:r>
      <w:r>
        <w:rPr>
          <w:rFonts w:hint="eastAsia" w:eastAsia="仿宋_GB2312"/>
          <w:color w:val="auto"/>
          <w:sz w:val="32"/>
          <w:szCs w:val="32"/>
        </w:rPr>
        <w:t>所申报数据中心水冷系统选用的泵产品均选用按相应国家标准评定能效指标在节能评价值以上的产品，风冷系统选用的风机、空气压缩机等产品均选用能效限定值及能效等级国家标准评定达到能效等级1级的产品得</w:t>
      </w:r>
      <w:r>
        <w:rPr>
          <w:rFonts w:hint="eastAsia" w:eastAsia="仿宋_GB2312"/>
          <w:color w:val="auto"/>
          <w:sz w:val="32"/>
          <w:szCs w:val="32"/>
          <w:lang w:val="en-US" w:eastAsia="zh-CN"/>
        </w:rPr>
        <w:t>1</w:t>
      </w:r>
      <w:r>
        <w:rPr>
          <w:rFonts w:hint="eastAsia" w:eastAsia="仿宋_GB2312"/>
          <w:color w:val="auto"/>
          <w:sz w:val="32"/>
          <w:szCs w:val="32"/>
        </w:rPr>
        <w:t>分。否则不得分。如：清水离心泵按《清水离心泵能效限定值及节能评价值》（GB 19762-2007）评定，通风机按《通风机能效限定值及能效等级》（GB 19761-20</w:t>
      </w:r>
      <w:r>
        <w:rPr>
          <w:rFonts w:hint="eastAsia" w:eastAsia="仿宋_GB2312"/>
          <w:color w:val="auto"/>
          <w:sz w:val="32"/>
          <w:szCs w:val="32"/>
          <w:lang w:val="en-US" w:eastAsia="zh-CN"/>
        </w:rPr>
        <w:t>20</w:t>
      </w:r>
      <w:r>
        <w:rPr>
          <w:rFonts w:hint="eastAsia" w:eastAsia="仿宋_GB2312"/>
          <w:color w:val="auto"/>
          <w:sz w:val="32"/>
          <w:szCs w:val="32"/>
        </w:rPr>
        <w:t>）评定。对于暂时无相应国家标准的产品，可参照行业标准或行业公认的相关行业协会制定的能效标准评定。</w:t>
      </w:r>
    </w:p>
    <w:p>
      <w:pPr>
        <w:spacing w:line="360" w:lineRule="auto"/>
        <w:ind w:firstLine="640" w:firstLineChars="200"/>
        <w:rPr>
          <w:rFonts w:eastAsia="仿宋_GB2312"/>
          <w:color w:val="auto"/>
          <w:sz w:val="32"/>
          <w:szCs w:val="32"/>
        </w:rPr>
      </w:pPr>
      <w:r>
        <w:rPr>
          <w:rFonts w:eastAsia="仿宋_GB2312"/>
          <w:color w:val="auto"/>
          <w:sz w:val="32"/>
          <w:szCs w:val="32"/>
        </w:rPr>
        <w:t>6.2.3</w:t>
      </w:r>
      <w:r>
        <w:rPr>
          <w:rFonts w:hint="eastAsia" w:eastAsia="仿宋_GB2312"/>
          <w:color w:val="auto"/>
          <w:sz w:val="32"/>
          <w:szCs w:val="32"/>
        </w:rPr>
        <w:t>所申报数据中心供配电系统直接使用的以及包含在不间断电源（UPS）中的各类变压器产品均选用能效限定值及能效等级国家标准评定达到能效等级1级的产品得</w:t>
      </w:r>
      <w:r>
        <w:rPr>
          <w:rFonts w:hint="eastAsia" w:eastAsia="仿宋_GB2312"/>
          <w:color w:val="auto"/>
          <w:sz w:val="32"/>
          <w:szCs w:val="32"/>
          <w:lang w:val="en-US" w:eastAsia="zh-CN"/>
        </w:rPr>
        <w:t>1</w:t>
      </w:r>
      <w:r>
        <w:rPr>
          <w:rFonts w:hint="eastAsia" w:eastAsia="仿宋_GB2312"/>
          <w:color w:val="auto"/>
          <w:sz w:val="32"/>
          <w:szCs w:val="32"/>
        </w:rPr>
        <w:t>分。如使用有能效等级</w:t>
      </w:r>
      <w:r>
        <w:rPr>
          <w:rFonts w:hint="eastAsia" w:eastAsia="仿宋_GB2312"/>
          <w:color w:val="auto"/>
          <w:sz w:val="32"/>
          <w:szCs w:val="32"/>
          <w:lang w:val="en-US" w:eastAsia="zh-CN"/>
        </w:rPr>
        <w:t>1</w:t>
      </w:r>
      <w:r>
        <w:rPr>
          <w:rFonts w:hint="eastAsia" w:eastAsia="仿宋_GB2312"/>
          <w:color w:val="auto"/>
          <w:sz w:val="32"/>
          <w:szCs w:val="32"/>
        </w:rPr>
        <w:t>级以下产品则不得分。如：三相电力变压器按GB 20052-2020评定。对于暂时无相应国家标准的产品，参照行业标准或行业公认的相关行业协会制定的能效标准评定。</w:t>
      </w:r>
    </w:p>
    <w:p>
      <w:pPr>
        <w:spacing w:line="360" w:lineRule="auto"/>
        <w:ind w:firstLine="640" w:firstLineChars="200"/>
        <w:rPr>
          <w:rFonts w:eastAsia="仿宋_GB2312"/>
          <w:color w:val="auto"/>
          <w:sz w:val="32"/>
          <w:szCs w:val="32"/>
        </w:rPr>
      </w:pPr>
      <w:r>
        <w:rPr>
          <w:rFonts w:eastAsia="仿宋_GB2312"/>
          <w:color w:val="auto"/>
          <w:sz w:val="32"/>
          <w:szCs w:val="32"/>
        </w:rPr>
        <w:t>6.2.4</w:t>
      </w:r>
      <w:r>
        <w:rPr>
          <w:rFonts w:hint="eastAsia" w:eastAsia="仿宋_GB2312"/>
          <w:color w:val="auto"/>
          <w:sz w:val="32"/>
          <w:szCs w:val="32"/>
        </w:rPr>
        <w:t>所申报数据中心安装有能源、资源信息化管控系统，可实时监视各系统设备的运行状态及工作参数，可实时显示各系统及主要设备对能源、资源的使用情况，并提供智能化分析功能，根据系统实现功能及实施效果得0-</w:t>
      </w:r>
      <w:r>
        <w:rPr>
          <w:rFonts w:hint="eastAsia" w:eastAsia="仿宋_GB2312"/>
          <w:color w:val="auto"/>
          <w:sz w:val="32"/>
          <w:szCs w:val="32"/>
          <w:lang w:val="en-US" w:eastAsia="zh-CN"/>
        </w:rPr>
        <w:t>1</w:t>
      </w:r>
      <w:r>
        <w:rPr>
          <w:rFonts w:hint="eastAsia" w:eastAsia="仿宋_GB2312"/>
          <w:color w:val="auto"/>
          <w:sz w:val="32"/>
          <w:szCs w:val="32"/>
        </w:rPr>
        <w:t>分。</w:t>
      </w:r>
    </w:p>
    <w:p>
      <w:pPr>
        <w:spacing w:line="360" w:lineRule="auto"/>
        <w:ind w:firstLine="640" w:firstLineChars="200"/>
        <w:rPr>
          <w:rFonts w:eastAsia="仿宋_GB2312"/>
          <w:color w:val="auto"/>
          <w:sz w:val="32"/>
          <w:szCs w:val="32"/>
        </w:rPr>
      </w:pPr>
      <w:r>
        <w:rPr>
          <w:rFonts w:eastAsia="仿宋_GB2312"/>
          <w:color w:val="auto"/>
          <w:sz w:val="32"/>
          <w:szCs w:val="32"/>
        </w:rPr>
        <w:t>6.2.5</w:t>
      </w:r>
      <w:r>
        <w:rPr>
          <w:rFonts w:hint="eastAsia" w:eastAsia="仿宋_GB2312"/>
          <w:color w:val="auto"/>
          <w:sz w:val="32"/>
          <w:szCs w:val="32"/>
        </w:rPr>
        <w:t>除上述所列产品外，所申报数据中心积极选用</w:t>
      </w:r>
      <w:r>
        <w:rPr>
          <w:rFonts w:hint="eastAsia" w:eastAsia="仿宋_GB2312"/>
          <w:color w:val="auto"/>
          <w:sz w:val="32"/>
          <w:szCs w:val="32"/>
          <w:lang w:eastAsia="zh-CN"/>
        </w:rPr>
        <w:t>近</w:t>
      </w:r>
      <w:r>
        <w:rPr>
          <w:rFonts w:hint="eastAsia" w:eastAsia="仿宋_GB2312"/>
          <w:color w:val="auto"/>
          <w:sz w:val="32"/>
          <w:szCs w:val="32"/>
          <w:lang w:val="en-US" w:eastAsia="zh-CN"/>
        </w:rPr>
        <w:t>3年</w:t>
      </w:r>
      <w:r>
        <w:rPr>
          <w:rFonts w:eastAsia="仿宋_GB2312"/>
          <w:color w:val="auto"/>
          <w:sz w:val="32"/>
          <w:szCs w:val="32"/>
        </w:rPr>
        <w:t>《</w:t>
      </w:r>
      <w:r>
        <w:rPr>
          <w:rFonts w:hint="eastAsia" w:eastAsia="仿宋_GB2312"/>
          <w:color w:val="auto"/>
          <w:sz w:val="32"/>
          <w:szCs w:val="32"/>
          <w:lang w:eastAsia="zh-CN"/>
        </w:rPr>
        <w:t>国家</w:t>
      </w:r>
      <w:r>
        <w:rPr>
          <w:rFonts w:eastAsia="仿宋_GB2312"/>
          <w:color w:val="auto"/>
          <w:sz w:val="32"/>
          <w:szCs w:val="32"/>
        </w:rPr>
        <w:t>绿色数据中心先进适用技术产品目录》</w:t>
      </w:r>
      <w:r>
        <w:rPr>
          <w:rFonts w:hint="eastAsia" w:eastAsia="仿宋_GB2312"/>
          <w:color w:val="auto"/>
          <w:sz w:val="32"/>
          <w:szCs w:val="32"/>
          <w:lang w:eastAsia="zh-CN"/>
        </w:rPr>
        <w:t>《国家通信业节能技术产品推荐目录》</w:t>
      </w:r>
      <w:r>
        <w:rPr>
          <w:rFonts w:eastAsia="仿宋_GB2312"/>
          <w:color w:val="auto"/>
          <w:sz w:val="32"/>
          <w:szCs w:val="32"/>
        </w:rPr>
        <w:t>所推荐技术</w:t>
      </w:r>
      <w:r>
        <w:rPr>
          <w:rFonts w:hint="eastAsia" w:eastAsia="仿宋_GB2312"/>
          <w:color w:val="auto"/>
          <w:sz w:val="32"/>
          <w:szCs w:val="32"/>
        </w:rPr>
        <w:t>产品</w:t>
      </w:r>
      <w:r>
        <w:rPr>
          <w:rFonts w:eastAsia="仿宋_GB2312"/>
          <w:color w:val="auto"/>
          <w:sz w:val="32"/>
          <w:szCs w:val="32"/>
        </w:rPr>
        <w:t>或类似</w:t>
      </w:r>
      <w:r>
        <w:rPr>
          <w:rFonts w:hint="eastAsia" w:eastAsia="仿宋_GB2312"/>
          <w:color w:val="auto"/>
          <w:sz w:val="32"/>
          <w:szCs w:val="32"/>
        </w:rPr>
        <w:t>功能及性能</w:t>
      </w:r>
      <w:r>
        <w:rPr>
          <w:rFonts w:eastAsia="仿宋_GB2312"/>
          <w:color w:val="auto"/>
          <w:sz w:val="32"/>
          <w:szCs w:val="32"/>
        </w:rPr>
        <w:t>技术</w:t>
      </w:r>
      <w:r>
        <w:rPr>
          <w:rFonts w:hint="eastAsia" w:eastAsia="仿宋_GB2312"/>
          <w:color w:val="auto"/>
          <w:sz w:val="32"/>
          <w:szCs w:val="32"/>
        </w:rPr>
        <w:t>产品</w:t>
      </w:r>
      <w:r>
        <w:rPr>
          <w:rFonts w:eastAsia="仿宋_GB2312"/>
          <w:color w:val="auto"/>
          <w:sz w:val="32"/>
          <w:szCs w:val="32"/>
        </w:rPr>
        <w:t>，</w:t>
      </w:r>
      <w:r>
        <w:rPr>
          <w:rFonts w:hint="eastAsia" w:eastAsia="仿宋_GB2312"/>
          <w:color w:val="auto"/>
          <w:sz w:val="32"/>
          <w:szCs w:val="32"/>
        </w:rPr>
        <w:t>根据实际情况得0-2分。</w:t>
      </w:r>
    </w:p>
    <w:p>
      <w:pPr>
        <w:spacing w:line="360" w:lineRule="auto"/>
        <w:ind w:firstLine="640" w:firstLineChars="200"/>
        <w:rPr>
          <w:rFonts w:eastAsia="仿宋_GB2312"/>
          <w:color w:val="auto"/>
          <w:sz w:val="32"/>
          <w:szCs w:val="32"/>
        </w:rPr>
      </w:pPr>
      <w:r>
        <w:rPr>
          <w:rFonts w:hint="eastAsia" w:eastAsia="仿宋_GB2312"/>
          <w:color w:val="auto"/>
          <w:sz w:val="32"/>
          <w:szCs w:val="32"/>
        </w:rPr>
        <w:t>以上各项得分相加为本指标项得分</w:t>
      </w:r>
      <w:r>
        <w:rPr>
          <w:rFonts w:hint="eastAsia" w:eastAsia="仿宋_GB2312"/>
          <w:color w:val="auto"/>
          <w:sz w:val="32"/>
          <w:szCs w:val="32"/>
          <w:lang w:eastAsia="zh-CN"/>
        </w:rPr>
        <w:t>，最高得</w:t>
      </w:r>
      <w:r>
        <w:rPr>
          <w:rFonts w:hint="eastAsia" w:eastAsia="仿宋_GB2312"/>
          <w:color w:val="auto"/>
          <w:sz w:val="32"/>
          <w:szCs w:val="32"/>
          <w:lang w:val="en-US" w:eastAsia="zh-CN"/>
        </w:rPr>
        <w:t>7分</w:t>
      </w:r>
      <w:r>
        <w:rPr>
          <w:rFonts w:hint="eastAsia" w:eastAsia="仿宋_GB2312"/>
          <w:color w:val="auto"/>
          <w:sz w:val="32"/>
          <w:szCs w:val="32"/>
        </w:rPr>
        <w:t>。</w:t>
      </w:r>
    </w:p>
    <w:p>
      <w:pPr>
        <w:spacing w:line="360" w:lineRule="auto"/>
        <w:ind w:firstLine="640" w:firstLineChars="200"/>
        <w:rPr>
          <w:rFonts w:eastAsia="仿宋_GB2312"/>
          <w:color w:val="auto"/>
          <w:sz w:val="32"/>
          <w:szCs w:val="32"/>
        </w:rPr>
      </w:pPr>
      <w:r>
        <w:rPr>
          <w:rFonts w:hint="eastAsia" w:eastAsia="仿宋_GB2312"/>
          <w:color w:val="auto"/>
          <w:sz w:val="32"/>
          <w:szCs w:val="32"/>
        </w:rPr>
        <w:t>7. 清洁能源利用系统</w:t>
      </w:r>
    </w:p>
    <w:p>
      <w:pPr>
        <w:spacing w:line="360" w:lineRule="auto"/>
        <w:ind w:firstLine="640" w:firstLineChars="200"/>
        <w:rPr>
          <w:rFonts w:eastAsia="仿宋_GB2312"/>
          <w:color w:val="auto"/>
          <w:sz w:val="32"/>
          <w:szCs w:val="32"/>
        </w:rPr>
      </w:pPr>
      <w:r>
        <w:rPr>
          <w:rFonts w:eastAsia="仿宋_GB2312"/>
          <w:color w:val="auto"/>
          <w:sz w:val="32"/>
          <w:szCs w:val="32"/>
        </w:rPr>
        <w:t>7.1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数据中心对自然冷源、分布式可再生能源</w:t>
      </w:r>
      <w:r>
        <w:rPr>
          <w:rFonts w:eastAsia="仿宋_GB2312"/>
          <w:color w:val="auto"/>
          <w:sz w:val="32"/>
          <w:szCs w:val="32"/>
        </w:rPr>
        <w:t>和</w:t>
      </w:r>
      <w:r>
        <w:rPr>
          <w:rFonts w:hint="eastAsia" w:eastAsia="仿宋_GB2312"/>
          <w:color w:val="auto"/>
          <w:sz w:val="32"/>
          <w:szCs w:val="32"/>
        </w:rPr>
        <w:t>余能余热等形式的清洁能源进行利用。</w:t>
      </w:r>
    </w:p>
    <w:p>
      <w:pPr>
        <w:spacing w:line="360" w:lineRule="auto"/>
        <w:ind w:firstLine="640" w:firstLineChars="200"/>
        <w:rPr>
          <w:rFonts w:eastAsia="仿宋_GB2312"/>
          <w:color w:val="auto"/>
          <w:sz w:val="32"/>
          <w:szCs w:val="32"/>
        </w:rPr>
      </w:pPr>
      <w:r>
        <w:rPr>
          <w:rFonts w:eastAsia="仿宋_GB2312"/>
          <w:color w:val="auto"/>
          <w:sz w:val="32"/>
          <w:szCs w:val="32"/>
        </w:rPr>
        <w:t>7.2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w:t>
      </w:r>
      <w:r>
        <w:rPr>
          <w:rFonts w:hint="eastAsia" w:eastAsia="仿宋_GB2312"/>
          <w:color w:val="auto"/>
          <w:sz w:val="32"/>
          <w:szCs w:val="32"/>
          <w:lang w:val="en-US" w:eastAsia="zh-CN"/>
        </w:rPr>
        <w:t>5</w:t>
      </w:r>
      <w:r>
        <w:rPr>
          <w:rFonts w:hint="eastAsia" w:eastAsia="仿宋_GB2312"/>
          <w:color w:val="auto"/>
          <w:sz w:val="32"/>
          <w:szCs w:val="32"/>
        </w:rPr>
        <w:t>分。</w:t>
      </w:r>
    </w:p>
    <w:p>
      <w:pPr>
        <w:spacing w:line="360" w:lineRule="auto"/>
        <w:ind w:firstLine="640" w:firstLineChars="200"/>
        <w:rPr>
          <w:rFonts w:eastAsia="仿宋_GB2312"/>
          <w:color w:val="auto"/>
          <w:sz w:val="32"/>
          <w:szCs w:val="32"/>
        </w:rPr>
      </w:pPr>
      <w:r>
        <w:rPr>
          <w:rFonts w:hint="eastAsia" w:eastAsia="仿宋_GB2312"/>
          <w:color w:val="auto"/>
          <w:sz w:val="32"/>
          <w:szCs w:val="32"/>
        </w:rPr>
        <w:t>根据所申报数据中心在自有场所建设自然冷源、自有系统余热回收利用或可再生能源发电等清洁能源利用系统及应用情况得0-</w:t>
      </w:r>
      <w:r>
        <w:rPr>
          <w:rFonts w:hint="eastAsia" w:eastAsia="仿宋_GB2312"/>
          <w:color w:val="auto"/>
          <w:sz w:val="32"/>
          <w:szCs w:val="32"/>
          <w:lang w:val="en-US" w:eastAsia="zh-CN"/>
        </w:rPr>
        <w:t>5</w:t>
      </w:r>
      <w:r>
        <w:rPr>
          <w:rFonts w:hint="eastAsia" w:eastAsia="仿宋_GB2312"/>
          <w:color w:val="auto"/>
          <w:sz w:val="32"/>
          <w:szCs w:val="32"/>
        </w:rPr>
        <w:t>分。</w:t>
      </w:r>
    </w:p>
    <w:p>
      <w:pPr>
        <w:numPr>
          <w:ilvl w:val="0"/>
          <w:numId w:val="1"/>
        </w:numPr>
        <w:spacing w:line="360" w:lineRule="auto"/>
        <w:ind w:firstLine="640" w:firstLineChars="200"/>
        <w:rPr>
          <w:rFonts w:eastAsia="仿宋_GB2312"/>
          <w:color w:val="auto"/>
          <w:sz w:val="32"/>
          <w:szCs w:val="32"/>
        </w:rPr>
      </w:pPr>
      <w:r>
        <w:rPr>
          <w:rFonts w:hint="eastAsia" w:eastAsia="仿宋_GB2312"/>
          <w:color w:val="auto"/>
          <w:sz w:val="32"/>
          <w:szCs w:val="32"/>
        </w:rPr>
        <w:t>绿色</w:t>
      </w:r>
      <w:r>
        <w:rPr>
          <w:rFonts w:eastAsia="仿宋_GB2312"/>
          <w:color w:val="auto"/>
          <w:sz w:val="32"/>
          <w:szCs w:val="32"/>
        </w:rPr>
        <w:t>采购</w:t>
      </w:r>
    </w:p>
    <w:p>
      <w:pPr>
        <w:spacing w:line="360" w:lineRule="auto"/>
        <w:ind w:firstLine="640" w:firstLineChars="200"/>
        <w:rPr>
          <w:rFonts w:eastAsia="仿宋_GB2312"/>
          <w:color w:val="auto"/>
          <w:sz w:val="32"/>
          <w:szCs w:val="32"/>
        </w:rPr>
      </w:pPr>
      <w:r>
        <w:rPr>
          <w:rFonts w:eastAsia="仿宋_GB2312"/>
          <w:color w:val="auto"/>
          <w:sz w:val="32"/>
          <w:szCs w:val="32"/>
        </w:rPr>
        <w:t>8.1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eastAsia="仿宋_GB2312"/>
          <w:color w:val="auto"/>
          <w:sz w:val="32"/>
          <w:szCs w:val="32"/>
        </w:rPr>
        <w:t>建立绿色采购制度，</w:t>
      </w:r>
      <w:r>
        <w:rPr>
          <w:rFonts w:hint="eastAsia" w:eastAsia="仿宋_GB2312"/>
          <w:color w:val="auto"/>
          <w:sz w:val="32"/>
          <w:szCs w:val="32"/>
        </w:rPr>
        <w:t>优先采购满足国家绿色设计产品评价相关要求</w:t>
      </w:r>
      <w:r>
        <w:rPr>
          <w:rFonts w:eastAsia="仿宋_GB2312"/>
          <w:color w:val="auto"/>
          <w:sz w:val="32"/>
          <w:szCs w:val="32"/>
        </w:rPr>
        <w:t>的</w:t>
      </w:r>
      <w:r>
        <w:rPr>
          <w:rFonts w:hint="eastAsia" w:eastAsia="仿宋_GB2312"/>
          <w:color w:val="auto"/>
          <w:sz w:val="32"/>
          <w:szCs w:val="32"/>
        </w:rPr>
        <w:t>设备和产品。</w:t>
      </w:r>
    </w:p>
    <w:p>
      <w:pPr>
        <w:spacing w:line="360" w:lineRule="auto"/>
        <w:ind w:firstLine="640" w:firstLineChars="200"/>
        <w:rPr>
          <w:rFonts w:eastAsia="仿宋_GB2312"/>
          <w:color w:val="auto"/>
          <w:sz w:val="32"/>
          <w:szCs w:val="32"/>
        </w:rPr>
      </w:pPr>
      <w:r>
        <w:rPr>
          <w:rFonts w:eastAsia="仿宋_GB2312"/>
          <w:color w:val="auto"/>
          <w:sz w:val="32"/>
          <w:szCs w:val="32"/>
        </w:rPr>
        <w:t>8.2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具备明确的绿色采购制度，优先采购满足国家有关绿色设计产品评价要求或满足相关节能、节水、</w:t>
      </w:r>
      <w:r>
        <w:rPr>
          <w:rFonts w:eastAsia="仿宋_GB2312"/>
          <w:color w:val="auto"/>
          <w:sz w:val="32"/>
          <w:szCs w:val="32"/>
        </w:rPr>
        <w:t>低碳等相关</w:t>
      </w:r>
      <w:r>
        <w:rPr>
          <w:rFonts w:hint="eastAsia" w:eastAsia="仿宋_GB2312"/>
          <w:color w:val="auto"/>
          <w:sz w:val="32"/>
          <w:szCs w:val="32"/>
        </w:rPr>
        <w:t>标准</w:t>
      </w:r>
      <w:r>
        <w:rPr>
          <w:rFonts w:eastAsia="仿宋_GB2312"/>
          <w:color w:val="auto"/>
          <w:sz w:val="32"/>
          <w:szCs w:val="32"/>
        </w:rPr>
        <w:t>要求</w:t>
      </w:r>
      <w:r>
        <w:rPr>
          <w:rFonts w:hint="eastAsia" w:eastAsia="仿宋_GB2312"/>
          <w:color w:val="auto"/>
          <w:sz w:val="32"/>
          <w:szCs w:val="32"/>
        </w:rPr>
        <w:t>的设备和产品。根据实际情况得0-2分。</w:t>
      </w:r>
    </w:p>
    <w:p>
      <w:pPr>
        <w:pStyle w:val="5"/>
        <w:autoSpaceDE w:val="0"/>
        <w:autoSpaceDN w:val="0"/>
        <w:spacing w:line="360" w:lineRule="auto"/>
        <w:ind w:firstLine="643"/>
        <w:jc w:val="left"/>
        <w:rPr>
          <w:rFonts w:ascii="楷体" w:hAnsi="楷体" w:eastAsia="楷体" w:cs="楷体"/>
          <w:b/>
          <w:color w:val="auto"/>
          <w:sz w:val="32"/>
          <w:szCs w:val="32"/>
        </w:rPr>
      </w:pPr>
      <w:r>
        <w:rPr>
          <w:rFonts w:hint="eastAsia" w:ascii="楷体" w:hAnsi="楷体" w:eastAsia="楷体" w:cs="楷体"/>
          <w:b/>
          <w:color w:val="auto"/>
          <w:sz w:val="32"/>
          <w:szCs w:val="32"/>
        </w:rPr>
        <w:t>（三）能源资源</w:t>
      </w:r>
      <w:r>
        <w:rPr>
          <w:rFonts w:hint="eastAsia" w:ascii="楷体" w:hAnsi="楷体" w:eastAsia="楷体" w:cs="楷体"/>
          <w:b/>
          <w:color w:val="auto"/>
          <w:sz w:val="32"/>
          <w:szCs w:val="32"/>
          <w:lang w:eastAsia="zh-CN"/>
        </w:rPr>
        <w:t>绿色</w:t>
      </w:r>
      <w:r>
        <w:rPr>
          <w:rFonts w:hint="eastAsia" w:ascii="楷体" w:hAnsi="楷体" w:eastAsia="楷体" w:cs="楷体"/>
          <w:b/>
          <w:color w:val="auto"/>
          <w:sz w:val="32"/>
          <w:szCs w:val="32"/>
        </w:rPr>
        <w:t>管理</w:t>
      </w:r>
    </w:p>
    <w:p>
      <w:pPr>
        <w:spacing w:line="360" w:lineRule="auto"/>
        <w:ind w:firstLine="640" w:firstLineChars="200"/>
        <w:rPr>
          <w:rFonts w:eastAsia="仿宋_GB2312"/>
          <w:color w:val="auto"/>
          <w:sz w:val="32"/>
          <w:szCs w:val="32"/>
        </w:rPr>
      </w:pPr>
      <w:r>
        <w:rPr>
          <w:rFonts w:hint="eastAsia" w:eastAsia="仿宋_GB2312"/>
          <w:color w:val="auto"/>
          <w:sz w:val="32"/>
          <w:szCs w:val="32"/>
        </w:rPr>
        <w:t>9</w:t>
      </w:r>
      <w:r>
        <w:rPr>
          <w:rFonts w:eastAsia="仿宋_GB2312"/>
          <w:color w:val="auto"/>
          <w:sz w:val="32"/>
          <w:szCs w:val="32"/>
        </w:rPr>
        <w:t>.</w:t>
      </w:r>
      <w:r>
        <w:rPr>
          <w:rFonts w:hint="eastAsia" w:eastAsia="仿宋_GB2312"/>
          <w:color w:val="auto"/>
          <w:sz w:val="32"/>
          <w:szCs w:val="32"/>
        </w:rPr>
        <w:t xml:space="preserve"> 能源管控</w:t>
      </w:r>
    </w:p>
    <w:p>
      <w:pPr>
        <w:spacing w:line="360" w:lineRule="auto"/>
        <w:ind w:firstLine="640" w:firstLineChars="200"/>
        <w:rPr>
          <w:rFonts w:eastAsia="仿宋_GB2312"/>
          <w:color w:val="auto"/>
          <w:sz w:val="32"/>
          <w:szCs w:val="32"/>
        </w:rPr>
      </w:pPr>
      <w:r>
        <w:rPr>
          <w:rFonts w:eastAsia="仿宋_GB2312"/>
          <w:color w:val="auto"/>
          <w:sz w:val="32"/>
          <w:szCs w:val="32"/>
        </w:rPr>
        <w:t>9.1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结合气候环境</w:t>
      </w:r>
      <w:r>
        <w:rPr>
          <w:rFonts w:eastAsia="仿宋_GB2312"/>
          <w:color w:val="auto"/>
          <w:sz w:val="32"/>
          <w:szCs w:val="32"/>
        </w:rPr>
        <w:t>、</w:t>
      </w:r>
      <w:r>
        <w:rPr>
          <w:rFonts w:hint="eastAsia" w:eastAsia="仿宋_GB2312"/>
          <w:color w:val="auto"/>
          <w:sz w:val="32"/>
          <w:szCs w:val="32"/>
        </w:rPr>
        <w:t>自身负载变化</w:t>
      </w:r>
      <w:r>
        <w:rPr>
          <w:rFonts w:eastAsia="仿宋_GB2312"/>
          <w:color w:val="auto"/>
          <w:sz w:val="32"/>
          <w:szCs w:val="32"/>
        </w:rPr>
        <w:t>和</w:t>
      </w:r>
      <w:r>
        <w:rPr>
          <w:rFonts w:hint="eastAsia" w:eastAsia="仿宋_GB2312"/>
          <w:color w:val="auto"/>
          <w:sz w:val="32"/>
          <w:szCs w:val="32"/>
        </w:rPr>
        <w:t>运营成本等因素科学运维，以实现能源利用效益最大化。</w:t>
      </w:r>
    </w:p>
    <w:p>
      <w:pPr>
        <w:spacing w:line="360" w:lineRule="auto"/>
        <w:ind w:firstLine="640" w:firstLineChars="200"/>
        <w:rPr>
          <w:rFonts w:eastAsia="仿宋_GB2312"/>
          <w:color w:val="auto"/>
          <w:sz w:val="32"/>
          <w:szCs w:val="32"/>
        </w:rPr>
      </w:pPr>
      <w:r>
        <w:rPr>
          <w:rFonts w:eastAsia="仿宋_GB2312"/>
          <w:color w:val="auto"/>
          <w:sz w:val="32"/>
          <w:szCs w:val="32"/>
        </w:rPr>
        <w:t>9.2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总分4分。</w:t>
      </w:r>
    </w:p>
    <w:p>
      <w:pPr>
        <w:spacing w:line="360" w:lineRule="auto"/>
        <w:ind w:firstLine="640" w:firstLineChars="200"/>
        <w:rPr>
          <w:rFonts w:eastAsia="仿宋_GB2312"/>
          <w:color w:val="auto"/>
          <w:sz w:val="32"/>
          <w:szCs w:val="32"/>
        </w:rPr>
      </w:pPr>
      <w:r>
        <w:rPr>
          <w:rFonts w:eastAsia="仿宋_GB2312"/>
          <w:color w:val="auto"/>
          <w:sz w:val="32"/>
          <w:szCs w:val="32"/>
        </w:rPr>
        <w:t>9.2.1</w:t>
      </w:r>
      <w:r>
        <w:rPr>
          <w:rFonts w:hint="eastAsia" w:eastAsia="仿宋_GB2312"/>
          <w:color w:val="auto"/>
          <w:sz w:val="32"/>
          <w:szCs w:val="32"/>
        </w:rPr>
        <w:t>所申报数据中心</w:t>
      </w:r>
      <w:r>
        <w:rPr>
          <w:rFonts w:eastAsia="仿宋_GB2312"/>
          <w:color w:val="auto"/>
          <w:sz w:val="32"/>
          <w:szCs w:val="32"/>
        </w:rPr>
        <w:t>具有能耗统计</w:t>
      </w:r>
      <w:r>
        <w:rPr>
          <w:rFonts w:hint="eastAsia" w:eastAsia="仿宋_GB2312"/>
          <w:color w:val="auto"/>
          <w:sz w:val="32"/>
          <w:szCs w:val="32"/>
        </w:rPr>
        <w:t>分析</w:t>
      </w:r>
      <w:r>
        <w:rPr>
          <w:rFonts w:eastAsia="仿宋_GB2312"/>
          <w:color w:val="auto"/>
          <w:sz w:val="32"/>
          <w:szCs w:val="32"/>
        </w:rPr>
        <w:t>制度，</w:t>
      </w:r>
      <w:r>
        <w:rPr>
          <w:rFonts w:hint="eastAsia" w:eastAsia="仿宋_GB2312"/>
          <w:color w:val="auto"/>
          <w:sz w:val="32"/>
          <w:szCs w:val="32"/>
        </w:rPr>
        <w:t>应至少</w:t>
      </w:r>
      <w:r>
        <w:rPr>
          <w:rFonts w:eastAsia="仿宋_GB2312"/>
          <w:color w:val="auto"/>
          <w:sz w:val="32"/>
          <w:szCs w:val="32"/>
        </w:rPr>
        <w:t>每月对能耗数据进行</w:t>
      </w:r>
      <w:r>
        <w:rPr>
          <w:rFonts w:hint="eastAsia" w:eastAsia="仿宋_GB2312"/>
          <w:color w:val="auto"/>
          <w:sz w:val="32"/>
          <w:szCs w:val="32"/>
        </w:rPr>
        <w:t>统计</w:t>
      </w:r>
      <w:r>
        <w:rPr>
          <w:rFonts w:eastAsia="仿宋_GB2312"/>
          <w:color w:val="auto"/>
          <w:sz w:val="32"/>
          <w:szCs w:val="32"/>
        </w:rPr>
        <w:t>分析，结合气候环境、自身负载变化和运营成本等因素对关键系统的运行方式进行优化调整</w:t>
      </w:r>
      <w:r>
        <w:rPr>
          <w:rFonts w:hint="eastAsia" w:eastAsia="仿宋_GB2312"/>
          <w:color w:val="auto"/>
          <w:sz w:val="32"/>
          <w:szCs w:val="32"/>
        </w:rPr>
        <w:t>。对具有自动控制功能的能源信息化管控系统的运行情况应定期进行检查及校正。根据实际情况得0-1分。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9.2.2</w:t>
      </w:r>
      <w:r>
        <w:rPr>
          <w:rFonts w:hint="eastAsia" w:eastAsia="仿宋_GB2312"/>
          <w:color w:val="auto"/>
          <w:sz w:val="32"/>
          <w:szCs w:val="32"/>
        </w:rPr>
        <w:t>所申报数据中心对于基础设施定期进行检查和维护，保证基础设施运行于最优工况。根据实际情况得0-1分。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9.2.3</w:t>
      </w:r>
      <w:r>
        <w:rPr>
          <w:rFonts w:hint="eastAsia" w:eastAsia="仿宋_GB2312"/>
          <w:color w:val="auto"/>
          <w:sz w:val="32"/>
          <w:szCs w:val="32"/>
        </w:rPr>
        <w:t>所申报数据中心对降低能耗设置有明确的、不断提高的发展目标，并将目标分解落实到责任人，制定相应的奖惩办法和长效考评机制。根据实际情况得0-1分。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9.2.4</w:t>
      </w:r>
      <w:r>
        <w:rPr>
          <w:rFonts w:hint="eastAsia" w:eastAsia="仿宋_GB2312"/>
          <w:color w:val="auto"/>
          <w:sz w:val="32"/>
          <w:szCs w:val="32"/>
        </w:rPr>
        <w:t>所申报数据中心建立有人员培训培养机制，不断提升数据中心人员节能运维与管理职业技能水平。根据实际情况得0-1分。</w:t>
      </w:r>
    </w:p>
    <w:p>
      <w:pPr>
        <w:spacing w:line="360" w:lineRule="auto"/>
        <w:ind w:firstLine="640" w:firstLineChars="200"/>
        <w:rPr>
          <w:rFonts w:eastAsia="仿宋_GB2312"/>
          <w:color w:val="auto"/>
          <w:sz w:val="32"/>
          <w:szCs w:val="32"/>
        </w:rPr>
      </w:pPr>
      <w:r>
        <w:rPr>
          <w:rFonts w:hint="eastAsia" w:eastAsia="仿宋_GB2312"/>
          <w:color w:val="auto"/>
          <w:sz w:val="32"/>
          <w:szCs w:val="32"/>
        </w:rPr>
        <w:t>以上各项得分累加为该项指标得分。</w:t>
      </w:r>
    </w:p>
    <w:p>
      <w:pPr>
        <w:spacing w:line="360" w:lineRule="auto"/>
        <w:ind w:firstLine="640" w:firstLineChars="200"/>
        <w:rPr>
          <w:rFonts w:eastAsia="仿宋_GB2312"/>
          <w:color w:val="auto"/>
          <w:sz w:val="32"/>
          <w:szCs w:val="32"/>
        </w:rPr>
      </w:pPr>
      <w:r>
        <w:rPr>
          <w:rFonts w:hint="eastAsia" w:eastAsia="仿宋_GB2312"/>
          <w:color w:val="auto"/>
          <w:sz w:val="32"/>
          <w:szCs w:val="32"/>
        </w:rPr>
        <w:t>10. 水资源管控</w:t>
      </w:r>
    </w:p>
    <w:p>
      <w:pPr>
        <w:spacing w:line="360" w:lineRule="auto"/>
        <w:ind w:firstLine="640" w:firstLineChars="200"/>
        <w:rPr>
          <w:rFonts w:eastAsia="仿宋_GB2312"/>
          <w:color w:val="auto"/>
          <w:sz w:val="32"/>
          <w:szCs w:val="32"/>
        </w:rPr>
      </w:pPr>
      <w:r>
        <w:rPr>
          <w:rFonts w:eastAsia="仿宋_GB2312"/>
          <w:color w:val="auto"/>
          <w:sz w:val="32"/>
          <w:szCs w:val="32"/>
        </w:rPr>
        <w:t>10.1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建立节水制度，充分利用水资源。</w:t>
      </w:r>
    </w:p>
    <w:p>
      <w:pPr>
        <w:spacing w:line="360" w:lineRule="auto"/>
        <w:ind w:firstLine="640" w:firstLineChars="200"/>
        <w:rPr>
          <w:rFonts w:eastAsia="仿宋_GB2312"/>
          <w:color w:val="auto"/>
          <w:sz w:val="32"/>
          <w:szCs w:val="32"/>
        </w:rPr>
      </w:pPr>
      <w:r>
        <w:rPr>
          <w:rFonts w:eastAsia="仿宋_GB2312"/>
          <w:color w:val="auto"/>
          <w:sz w:val="32"/>
          <w:szCs w:val="32"/>
        </w:rPr>
        <w:t>10.2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eastAsia="仿宋_GB2312"/>
          <w:color w:val="auto"/>
          <w:sz w:val="32"/>
          <w:szCs w:val="32"/>
        </w:rPr>
        <w:t>10.2.1</w:t>
      </w:r>
      <w:r>
        <w:rPr>
          <w:rFonts w:hint="eastAsia" w:eastAsia="仿宋_GB2312"/>
          <w:color w:val="auto"/>
          <w:sz w:val="32"/>
          <w:szCs w:val="32"/>
        </w:rPr>
        <w:t>所申报数据中心充分分析水资源使用情况，</w:t>
      </w:r>
      <w:r>
        <w:rPr>
          <w:rFonts w:eastAsia="仿宋_GB2312"/>
          <w:color w:val="auto"/>
          <w:sz w:val="32"/>
          <w:szCs w:val="32"/>
        </w:rPr>
        <w:t>结合气候环境和自身负载变化、运营成本等因素</w:t>
      </w:r>
      <w:r>
        <w:rPr>
          <w:rFonts w:hint="eastAsia" w:eastAsia="仿宋_GB2312"/>
          <w:color w:val="auto"/>
          <w:sz w:val="32"/>
          <w:szCs w:val="32"/>
        </w:rPr>
        <w:t>不断调整用水策略，尽最大可能对水资源进行回收再利用，减少水资源消耗。根据实际情况得0-1分。</w:t>
      </w:r>
    </w:p>
    <w:p>
      <w:pPr>
        <w:spacing w:line="360" w:lineRule="auto"/>
        <w:ind w:firstLine="640" w:firstLineChars="200"/>
        <w:rPr>
          <w:rFonts w:eastAsia="仿宋_GB2312"/>
          <w:color w:val="auto"/>
          <w:sz w:val="32"/>
          <w:szCs w:val="32"/>
        </w:rPr>
      </w:pPr>
      <w:r>
        <w:rPr>
          <w:rFonts w:eastAsia="仿宋_GB2312"/>
          <w:color w:val="auto"/>
          <w:sz w:val="32"/>
          <w:szCs w:val="32"/>
        </w:rPr>
        <w:t>10.2.2</w:t>
      </w:r>
      <w:r>
        <w:rPr>
          <w:rFonts w:hint="eastAsia" w:eastAsia="仿宋_GB2312"/>
          <w:color w:val="auto"/>
          <w:sz w:val="32"/>
          <w:szCs w:val="32"/>
        </w:rPr>
        <w:t>建立节水制度，使用节水器具，加强用水设备的日常维护，</w:t>
      </w:r>
      <w:r>
        <w:rPr>
          <w:rFonts w:eastAsia="仿宋_GB2312"/>
          <w:color w:val="auto"/>
          <w:sz w:val="32"/>
          <w:szCs w:val="32"/>
        </w:rPr>
        <w:t>损坏管件应及时更换，防止破管、渗水、漏水现象的发生</w:t>
      </w:r>
      <w:r>
        <w:rPr>
          <w:rFonts w:hint="eastAsia" w:eastAsia="仿宋_GB2312"/>
          <w:color w:val="auto"/>
          <w:sz w:val="32"/>
          <w:szCs w:val="32"/>
        </w:rPr>
        <w:t>。根据实际情况得0-1分。</w:t>
      </w:r>
    </w:p>
    <w:p>
      <w:pPr>
        <w:spacing w:line="360" w:lineRule="auto"/>
        <w:ind w:firstLine="640" w:firstLineChars="200"/>
        <w:rPr>
          <w:rFonts w:eastAsia="仿宋_GB2312"/>
          <w:color w:val="auto"/>
          <w:sz w:val="32"/>
          <w:szCs w:val="32"/>
        </w:rPr>
      </w:pPr>
      <w:r>
        <w:rPr>
          <w:rFonts w:hint="eastAsia" w:eastAsia="仿宋_GB2312"/>
          <w:color w:val="auto"/>
          <w:sz w:val="32"/>
          <w:szCs w:val="32"/>
        </w:rPr>
        <w:t>以上两项得分累加为该项指标得分。</w:t>
      </w:r>
    </w:p>
    <w:p>
      <w:pPr>
        <w:spacing w:line="360" w:lineRule="auto"/>
        <w:ind w:firstLine="640" w:firstLineChars="200"/>
        <w:rPr>
          <w:rFonts w:eastAsia="仿宋_GB2312"/>
          <w:color w:val="auto"/>
          <w:sz w:val="32"/>
          <w:szCs w:val="32"/>
        </w:rPr>
      </w:pPr>
      <w:r>
        <w:rPr>
          <w:rFonts w:hint="eastAsia" w:eastAsia="仿宋_GB2312"/>
          <w:color w:val="auto"/>
          <w:sz w:val="32"/>
          <w:szCs w:val="32"/>
        </w:rPr>
        <w:t>11</w:t>
      </w:r>
      <w:r>
        <w:rPr>
          <w:rFonts w:eastAsia="仿宋_GB2312"/>
          <w:color w:val="auto"/>
          <w:sz w:val="32"/>
          <w:szCs w:val="32"/>
        </w:rPr>
        <w:t>. 节能诊断服务</w:t>
      </w:r>
    </w:p>
    <w:p>
      <w:pPr>
        <w:spacing w:line="360" w:lineRule="auto"/>
        <w:ind w:firstLine="640" w:firstLineChars="200"/>
        <w:rPr>
          <w:rFonts w:eastAsia="仿宋_GB2312"/>
          <w:color w:val="auto"/>
          <w:sz w:val="32"/>
          <w:szCs w:val="32"/>
        </w:rPr>
      </w:pPr>
      <w:r>
        <w:rPr>
          <w:rFonts w:eastAsia="仿宋_GB2312"/>
          <w:color w:val="auto"/>
          <w:sz w:val="32"/>
          <w:szCs w:val="32"/>
        </w:rPr>
        <w:t>11.1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积极响应《工业节能诊断服务行动计划》（工信部节函〔2019〕101号），自愿接受节能诊断服务，并依据诊断结果开展有实效的节能、节水等绿色技术改造。</w:t>
      </w:r>
    </w:p>
    <w:p>
      <w:pPr>
        <w:spacing w:line="360" w:lineRule="auto"/>
        <w:ind w:firstLine="640" w:firstLineChars="200"/>
        <w:rPr>
          <w:rFonts w:eastAsia="仿宋_GB2312"/>
          <w:color w:val="auto"/>
          <w:sz w:val="32"/>
          <w:szCs w:val="32"/>
        </w:rPr>
      </w:pPr>
      <w:r>
        <w:rPr>
          <w:rFonts w:eastAsia="仿宋_GB2312"/>
          <w:color w:val="auto"/>
          <w:sz w:val="32"/>
          <w:szCs w:val="32"/>
        </w:rPr>
        <w:t>11.2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所申报数据中心近两年内积极响应《工业节能诊断服务行动计划》（工信部节函〔2019〕101号），自愿接受节能诊断服务，并依据诊断结果开展节能、节水等绿色技术改造并取得实效。根据实际情况得0-2分。</w:t>
      </w:r>
    </w:p>
    <w:p>
      <w:pPr>
        <w:spacing w:line="360" w:lineRule="auto"/>
        <w:ind w:firstLine="640" w:firstLineChars="200"/>
        <w:rPr>
          <w:rFonts w:eastAsia="仿宋_GB2312"/>
          <w:color w:val="auto"/>
          <w:sz w:val="32"/>
          <w:szCs w:val="32"/>
        </w:rPr>
      </w:pPr>
      <w:r>
        <w:rPr>
          <w:rFonts w:hint="eastAsia" w:eastAsia="仿宋_GB2312"/>
          <w:color w:val="auto"/>
          <w:sz w:val="32"/>
          <w:szCs w:val="32"/>
        </w:rPr>
        <w:t>12. 第三方评测</w:t>
      </w:r>
    </w:p>
    <w:p>
      <w:pPr>
        <w:spacing w:line="360" w:lineRule="auto"/>
        <w:ind w:firstLine="640" w:firstLineChars="200"/>
        <w:rPr>
          <w:rFonts w:eastAsia="仿宋_GB2312"/>
          <w:color w:val="auto"/>
          <w:sz w:val="32"/>
          <w:szCs w:val="32"/>
        </w:rPr>
      </w:pPr>
      <w:r>
        <w:rPr>
          <w:rFonts w:eastAsia="仿宋_GB2312"/>
          <w:color w:val="auto"/>
          <w:sz w:val="32"/>
          <w:szCs w:val="32"/>
        </w:rPr>
        <w:t>12.1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由具有CNAS、CMA资质的第三方机构进行评测并出具符合CNAS、CMA要求的相应检测报告，数据中心据此采取提升改进措施并取得实效。</w:t>
      </w:r>
    </w:p>
    <w:p>
      <w:pPr>
        <w:spacing w:line="360" w:lineRule="auto"/>
        <w:ind w:firstLine="640" w:firstLineChars="200"/>
        <w:rPr>
          <w:rFonts w:eastAsia="仿宋_GB2312"/>
          <w:color w:val="auto"/>
          <w:sz w:val="32"/>
          <w:szCs w:val="32"/>
        </w:rPr>
      </w:pPr>
      <w:r>
        <w:rPr>
          <w:rFonts w:eastAsia="仿宋_GB2312"/>
          <w:color w:val="auto"/>
          <w:sz w:val="32"/>
          <w:szCs w:val="32"/>
        </w:rPr>
        <w:t>12.2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所申报数据中心近两年内由具有CNAS、CMA资质的第三方机构进行评测并出具符合CNAS、CMA要求的相应检测报告，所申报数据中心据此采取提升改进措施并取得实效。根据实际情况得0-2分。</w:t>
      </w:r>
    </w:p>
    <w:p>
      <w:pPr>
        <w:pStyle w:val="5"/>
        <w:autoSpaceDE w:val="0"/>
        <w:autoSpaceDN w:val="0"/>
        <w:spacing w:line="360" w:lineRule="auto"/>
        <w:ind w:firstLine="643"/>
        <w:jc w:val="left"/>
        <w:rPr>
          <w:rFonts w:ascii="楷体" w:hAnsi="楷体" w:eastAsia="楷体" w:cs="楷体"/>
          <w:b/>
          <w:color w:val="auto"/>
          <w:sz w:val="32"/>
          <w:szCs w:val="32"/>
        </w:rPr>
      </w:pPr>
      <w:r>
        <w:rPr>
          <w:rFonts w:hint="eastAsia" w:ascii="楷体" w:hAnsi="楷体" w:eastAsia="楷体" w:cs="楷体"/>
          <w:b/>
          <w:color w:val="auto"/>
          <w:sz w:val="32"/>
          <w:szCs w:val="32"/>
        </w:rPr>
        <w:t>（四）设备绿色管理</w:t>
      </w:r>
    </w:p>
    <w:p>
      <w:pPr>
        <w:spacing w:line="360" w:lineRule="auto"/>
        <w:ind w:firstLine="640" w:firstLineChars="200"/>
        <w:rPr>
          <w:rFonts w:eastAsia="仿宋_GB2312"/>
          <w:color w:val="auto"/>
          <w:sz w:val="32"/>
          <w:szCs w:val="32"/>
        </w:rPr>
      </w:pPr>
      <w:r>
        <w:rPr>
          <w:rFonts w:hint="eastAsia" w:eastAsia="仿宋_GB2312"/>
          <w:color w:val="auto"/>
          <w:sz w:val="32"/>
          <w:szCs w:val="32"/>
        </w:rPr>
        <w:t>13. 电器电子产品有害物质限制使用管理</w:t>
      </w:r>
    </w:p>
    <w:p>
      <w:pPr>
        <w:spacing w:line="360" w:lineRule="auto"/>
        <w:ind w:firstLine="640" w:firstLineChars="200"/>
        <w:rPr>
          <w:rFonts w:eastAsia="仿宋_GB2312"/>
          <w:color w:val="auto"/>
          <w:sz w:val="32"/>
          <w:szCs w:val="32"/>
        </w:rPr>
      </w:pPr>
      <w:r>
        <w:rPr>
          <w:rFonts w:eastAsia="仿宋_GB2312"/>
          <w:color w:val="auto"/>
          <w:sz w:val="32"/>
          <w:szCs w:val="32"/>
        </w:rPr>
        <w:t>13.1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数据中心物理界限范围内的电器电子产品应符合《电器电子产品有害物质限制使用管理办法》和《电子电气产品中限用物质的限量要求》（GB/T26572）相关要求。</w:t>
      </w:r>
    </w:p>
    <w:p>
      <w:pPr>
        <w:spacing w:line="360" w:lineRule="auto"/>
        <w:ind w:firstLine="640" w:firstLineChars="200"/>
        <w:rPr>
          <w:rFonts w:eastAsia="仿宋_GB2312"/>
          <w:color w:val="auto"/>
          <w:sz w:val="32"/>
          <w:szCs w:val="32"/>
        </w:rPr>
      </w:pPr>
      <w:r>
        <w:rPr>
          <w:rFonts w:eastAsia="仿宋_GB2312"/>
          <w:color w:val="auto"/>
          <w:sz w:val="32"/>
          <w:szCs w:val="32"/>
        </w:rPr>
        <w:t>13.2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所申报数据中心物理界限内的电器电子产品（包括数据中心本身所有及客户托管存放的各类电器电子产品）</w:t>
      </w:r>
      <w:r>
        <w:rPr>
          <w:rFonts w:eastAsia="仿宋_GB2312"/>
          <w:color w:val="auto"/>
          <w:sz w:val="32"/>
          <w:szCs w:val="32"/>
        </w:rPr>
        <w:t>应</w:t>
      </w:r>
      <w:r>
        <w:rPr>
          <w:rFonts w:hint="eastAsia" w:eastAsia="仿宋_GB2312"/>
          <w:color w:val="auto"/>
          <w:sz w:val="32"/>
          <w:szCs w:val="32"/>
        </w:rPr>
        <w:t>符合《电器电子产品有害物质限制使用管理办法》</w:t>
      </w:r>
      <w:r>
        <w:rPr>
          <w:rFonts w:eastAsia="仿宋_GB2312"/>
          <w:color w:val="auto"/>
          <w:sz w:val="32"/>
          <w:szCs w:val="32"/>
        </w:rPr>
        <w:t>的相关</w:t>
      </w:r>
      <w:r>
        <w:rPr>
          <w:rFonts w:hint="eastAsia" w:eastAsia="仿宋_GB2312"/>
          <w:color w:val="auto"/>
          <w:sz w:val="32"/>
          <w:szCs w:val="32"/>
        </w:rPr>
        <w:t>规定</w:t>
      </w:r>
      <w:r>
        <w:rPr>
          <w:rFonts w:eastAsia="仿宋_GB2312"/>
          <w:color w:val="auto"/>
          <w:sz w:val="32"/>
          <w:szCs w:val="32"/>
        </w:rPr>
        <w:t>。对列入《电器电子产品有害物质限制使用达标管理目录》的产品，还应满足《电器电子产品有害物质限制使用合格评定制度实施安排》的相关要求。符合</w:t>
      </w:r>
      <w:r>
        <w:rPr>
          <w:rFonts w:hint="eastAsia" w:eastAsia="仿宋_GB2312"/>
          <w:color w:val="auto"/>
          <w:sz w:val="32"/>
          <w:szCs w:val="32"/>
        </w:rPr>
        <w:t>得2分，否则不得分。</w:t>
      </w:r>
    </w:p>
    <w:p>
      <w:pPr>
        <w:spacing w:line="360" w:lineRule="auto"/>
        <w:ind w:firstLine="640" w:firstLineChars="200"/>
        <w:rPr>
          <w:rFonts w:eastAsia="仿宋_GB2312"/>
          <w:color w:val="auto"/>
          <w:sz w:val="32"/>
          <w:szCs w:val="32"/>
        </w:rPr>
      </w:pPr>
      <w:r>
        <w:rPr>
          <w:rFonts w:hint="eastAsia" w:eastAsia="仿宋_GB2312"/>
          <w:color w:val="auto"/>
          <w:sz w:val="32"/>
          <w:szCs w:val="32"/>
        </w:rPr>
        <w:t>14. 废旧电器电子产品处理</w:t>
      </w:r>
    </w:p>
    <w:p>
      <w:pPr>
        <w:spacing w:line="360" w:lineRule="auto"/>
        <w:ind w:firstLine="640" w:firstLineChars="200"/>
        <w:rPr>
          <w:rFonts w:eastAsia="仿宋_GB2312"/>
          <w:color w:val="auto"/>
          <w:sz w:val="32"/>
          <w:szCs w:val="32"/>
        </w:rPr>
      </w:pPr>
      <w:r>
        <w:rPr>
          <w:rFonts w:eastAsia="仿宋_GB2312"/>
          <w:color w:val="auto"/>
          <w:sz w:val="32"/>
          <w:szCs w:val="32"/>
        </w:rPr>
        <w:t>14.1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建立可追溯的电器电子产品管理档案，对废旧电器电子产品妥善进行处理，对有再利用价值的废旧设备采取再利用措施。</w:t>
      </w:r>
    </w:p>
    <w:p>
      <w:pPr>
        <w:spacing w:line="360" w:lineRule="auto"/>
        <w:ind w:firstLine="640" w:firstLineChars="200"/>
        <w:rPr>
          <w:rFonts w:eastAsia="仿宋_GB2312"/>
          <w:color w:val="auto"/>
          <w:sz w:val="32"/>
          <w:szCs w:val="32"/>
        </w:rPr>
      </w:pPr>
      <w:r>
        <w:rPr>
          <w:rFonts w:eastAsia="仿宋_GB2312"/>
          <w:color w:val="auto"/>
          <w:sz w:val="32"/>
          <w:szCs w:val="32"/>
        </w:rPr>
        <w:t>14.2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所申报数据中心建立有可追溯的电器电子产品管理档案，对废旧电器电子产品进行识别，并有具体再利用措施，包括自我利用和与产品生产企业、有相应资质的回收企业共同建立</w:t>
      </w:r>
      <w:r>
        <w:rPr>
          <w:rFonts w:eastAsia="仿宋_GB2312"/>
          <w:color w:val="auto"/>
          <w:sz w:val="32"/>
          <w:szCs w:val="32"/>
        </w:rPr>
        <w:t>的</w:t>
      </w:r>
      <w:r>
        <w:rPr>
          <w:rFonts w:hint="eastAsia" w:eastAsia="仿宋_GB2312"/>
          <w:color w:val="auto"/>
          <w:sz w:val="32"/>
          <w:szCs w:val="32"/>
        </w:rPr>
        <w:t>废旧电器电子产品回收体系。处理过程有记录。根据实际情况得0-2分。</w:t>
      </w:r>
    </w:p>
    <w:p>
      <w:pPr>
        <w:numPr>
          <w:ilvl w:val="0"/>
          <w:numId w:val="2"/>
        </w:numPr>
        <w:spacing w:line="360" w:lineRule="auto"/>
        <w:ind w:firstLine="640" w:firstLineChars="200"/>
        <w:rPr>
          <w:rFonts w:eastAsia="仿宋_GB2312"/>
          <w:color w:val="auto"/>
          <w:sz w:val="32"/>
          <w:szCs w:val="32"/>
        </w:rPr>
      </w:pPr>
      <w:r>
        <w:rPr>
          <w:rFonts w:hint="eastAsia" w:eastAsia="仿宋_GB2312"/>
          <w:color w:val="auto"/>
          <w:sz w:val="32"/>
          <w:szCs w:val="32"/>
        </w:rPr>
        <w:t>废弃物管理</w:t>
      </w:r>
    </w:p>
    <w:p>
      <w:pPr>
        <w:spacing w:line="360" w:lineRule="auto"/>
        <w:ind w:firstLine="640" w:firstLineChars="200"/>
        <w:rPr>
          <w:rFonts w:eastAsia="仿宋_GB2312"/>
          <w:color w:val="auto"/>
          <w:sz w:val="32"/>
          <w:szCs w:val="32"/>
        </w:rPr>
      </w:pPr>
      <w:r>
        <w:rPr>
          <w:rFonts w:eastAsia="仿宋_GB2312"/>
          <w:color w:val="auto"/>
          <w:sz w:val="32"/>
          <w:szCs w:val="32"/>
        </w:rPr>
        <w:t>15.1</w:t>
      </w:r>
      <w:r>
        <w:rPr>
          <w:rFonts w:hint="eastAsia" w:eastAsia="仿宋_GB2312"/>
          <w:color w:val="auto"/>
          <w:sz w:val="32"/>
          <w:szCs w:val="32"/>
        </w:rPr>
        <w:t>指标说明</w:t>
      </w:r>
    </w:p>
    <w:p>
      <w:pPr>
        <w:spacing w:line="360" w:lineRule="auto"/>
        <w:ind w:firstLine="640" w:firstLineChars="200"/>
        <w:rPr>
          <w:rFonts w:eastAsia="仿宋_GB2312"/>
          <w:color w:val="auto"/>
          <w:sz w:val="32"/>
          <w:szCs w:val="32"/>
        </w:rPr>
      </w:pPr>
      <w:r>
        <w:rPr>
          <w:rFonts w:hint="eastAsia" w:eastAsia="仿宋_GB2312"/>
          <w:color w:val="auto"/>
          <w:sz w:val="32"/>
          <w:szCs w:val="32"/>
        </w:rPr>
        <w:t>各类废弃物均</w:t>
      </w:r>
      <w:r>
        <w:rPr>
          <w:rFonts w:eastAsia="仿宋_GB2312"/>
          <w:color w:val="auto"/>
          <w:sz w:val="32"/>
          <w:szCs w:val="32"/>
        </w:rPr>
        <w:t>应</w:t>
      </w:r>
      <w:r>
        <w:rPr>
          <w:rFonts w:hint="eastAsia" w:eastAsia="仿宋_GB2312"/>
          <w:color w:val="auto"/>
          <w:sz w:val="32"/>
          <w:szCs w:val="32"/>
        </w:rPr>
        <w:t>得到妥善处理，</w:t>
      </w:r>
      <w:r>
        <w:rPr>
          <w:rFonts w:eastAsia="仿宋_GB2312"/>
          <w:color w:val="auto"/>
          <w:sz w:val="32"/>
          <w:szCs w:val="32"/>
        </w:rPr>
        <w:t>且</w:t>
      </w:r>
      <w:r>
        <w:rPr>
          <w:rFonts w:hint="eastAsia" w:eastAsia="仿宋_GB2312"/>
          <w:color w:val="auto"/>
          <w:sz w:val="32"/>
          <w:szCs w:val="32"/>
        </w:rPr>
        <w:t>符合国家和地方相关管理规定。</w:t>
      </w:r>
    </w:p>
    <w:p>
      <w:pPr>
        <w:spacing w:line="360" w:lineRule="auto"/>
        <w:ind w:firstLine="640" w:firstLineChars="200"/>
        <w:rPr>
          <w:rFonts w:eastAsia="仿宋_GB2312"/>
          <w:color w:val="auto"/>
          <w:sz w:val="32"/>
          <w:szCs w:val="32"/>
        </w:rPr>
      </w:pPr>
      <w:r>
        <w:rPr>
          <w:rFonts w:eastAsia="仿宋_GB2312"/>
          <w:color w:val="auto"/>
          <w:sz w:val="32"/>
          <w:szCs w:val="32"/>
        </w:rPr>
        <w:t>15.2</w:t>
      </w:r>
      <w:r>
        <w:rPr>
          <w:rFonts w:hint="eastAsia" w:eastAsia="仿宋_GB2312"/>
          <w:color w:val="auto"/>
          <w:sz w:val="32"/>
          <w:szCs w:val="32"/>
        </w:rPr>
        <w:t>评分规则</w:t>
      </w:r>
    </w:p>
    <w:p>
      <w:pPr>
        <w:spacing w:line="360" w:lineRule="auto"/>
        <w:ind w:firstLine="640" w:firstLineChars="200"/>
        <w:rPr>
          <w:rFonts w:eastAsia="仿宋_GB2312"/>
          <w:color w:val="auto"/>
          <w:sz w:val="32"/>
          <w:szCs w:val="32"/>
        </w:rPr>
      </w:pPr>
      <w:r>
        <w:rPr>
          <w:rFonts w:hint="eastAsia" w:eastAsia="仿宋_GB2312"/>
          <w:color w:val="auto"/>
          <w:sz w:val="32"/>
          <w:szCs w:val="32"/>
        </w:rPr>
        <w:t>总分2分。</w:t>
      </w:r>
    </w:p>
    <w:p>
      <w:pPr>
        <w:spacing w:line="360" w:lineRule="auto"/>
        <w:ind w:firstLine="640" w:firstLineChars="200"/>
        <w:rPr>
          <w:rFonts w:eastAsia="仿宋_GB2312"/>
          <w:color w:val="auto"/>
          <w:sz w:val="32"/>
          <w:szCs w:val="32"/>
        </w:rPr>
      </w:pPr>
      <w:r>
        <w:rPr>
          <w:rFonts w:hint="eastAsia" w:eastAsia="仿宋_GB2312"/>
          <w:color w:val="auto"/>
          <w:sz w:val="32"/>
          <w:szCs w:val="32"/>
        </w:rPr>
        <w:t>对于数据中心日常运行维护、检修等产生的空气滤芯、废旧电缆、水处理残渣、废旧电池、电缆桥架、废弃油液、可破坏臭氧层或具有温室效应的制冷剂</w:t>
      </w:r>
      <w:r>
        <w:rPr>
          <w:rFonts w:eastAsia="仿宋_GB2312"/>
          <w:color w:val="auto"/>
          <w:sz w:val="32"/>
          <w:szCs w:val="32"/>
        </w:rPr>
        <w:t>和</w:t>
      </w:r>
      <w:r>
        <w:rPr>
          <w:rFonts w:hint="eastAsia" w:eastAsia="仿宋_GB2312"/>
          <w:color w:val="auto"/>
          <w:sz w:val="32"/>
          <w:szCs w:val="32"/>
        </w:rPr>
        <w:t>污水等各类可能对环境产生不良影响的废弃物，所申报数据中心应充分识别并依照国家及地方相关管理规定建立有相关处理制度，废弃物产生及处理过程有完整记录。根据实际情况得0-2分。</w:t>
      </w:r>
    </w:p>
    <w:p>
      <w:pPr>
        <w:pStyle w:val="5"/>
        <w:autoSpaceDE w:val="0"/>
        <w:autoSpaceDN w:val="0"/>
        <w:spacing w:line="360" w:lineRule="auto"/>
        <w:ind w:firstLine="643"/>
        <w:jc w:val="left"/>
        <w:rPr>
          <w:rFonts w:ascii="楷体" w:hAnsi="楷体" w:eastAsia="楷体" w:cs="楷体"/>
          <w:b/>
          <w:color w:val="auto"/>
          <w:sz w:val="32"/>
          <w:szCs w:val="32"/>
        </w:rPr>
      </w:pPr>
      <w:r>
        <w:rPr>
          <w:rFonts w:hint="eastAsia" w:ascii="楷体" w:hAnsi="楷体" w:eastAsia="楷体" w:cs="楷体"/>
          <w:b/>
          <w:color w:val="auto"/>
          <w:sz w:val="32"/>
          <w:szCs w:val="32"/>
        </w:rPr>
        <w:t>（五）加分项</w:t>
      </w:r>
    </w:p>
    <w:p>
      <w:pPr>
        <w:pStyle w:val="5"/>
        <w:autoSpaceDE w:val="0"/>
        <w:autoSpaceDN w:val="0"/>
        <w:spacing w:line="360" w:lineRule="auto"/>
        <w:ind w:firstLine="640"/>
        <w:jc w:val="left"/>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6</w:t>
      </w:r>
      <w:r>
        <w:rPr>
          <w:rFonts w:hint="eastAsia" w:eastAsia="仿宋_GB2312"/>
          <w:color w:val="auto"/>
          <w:sz w:val="32"/>
          <w:szCs w:val="32"/>
        </w:rPr>
        <w:t>. 可再生能源电力消纳</w:t>
      </w:r>
      <w:r>
        <w:rPr>
          <w:rFonts w:hint="eastAsia" w:eastAsia="仿宋_GB2312"/>
          <w:color w:val="auto"/>
          <w:sz w:val="32"/>
          <w:szCs w:val="32"/>
          <w:lang w:eastAsia="zh-CN"/>
        </w:rPr>
        <w:t>、</w:t>
      </w:r>
      <w:r>
        <w:rPr>
          <w:rFonts w:hint="eastAsia" w:eastAsia="仿宋_GB2312"/>
          <w:color w:val="auto"/>
          <w:sz w:val="32"/>
          <w:szCs w:val="32"/>
        </w:rPr>
        <w:t>绿色电力证书消费、余热回收、电池梯级利用等综合能源利用</w:t>
      </w:r>
    </w:p>
    <w:p>
      <w:pPr>
        <w:spacing w:line="360" w:lineRule="auto"/>
        <w:ind w:firstLine="640" w:firstLineChars="200"/>
        <w:rPr>
          <w:rFonts w:hint="default" w:eastAsia="仿宋_GB2312"/>
          <w:color w:val="auto"/>
          <w:sz w:val="32"/>
          <w:szCs w:val="32"/>
          <w:lang w:val="en-US" w:eastAsia="zh-CN"/>
        </w:rPr>
      </w:pPr>
      <w:r>
        <w:rPr>
          <w:rFonts w:hint="eastAsia" w:eastAsia="仿宋_GB2312"/>
          <w:color w:val="auto"/>
          <w:sz w:val="32"/>
          <w:szCs w:val="32"/>
        </w:rPr>
        <w:t>所申报数据中心连续一年内通过直接购买并应用可再生能源电力</w:t>
      </w:r>
      <w:r>
        <w:rPr>
          <w:rFonts w:hint="eastAsia" w:eastAsia="仿宋_GB2312"/>
          <w:color w:val="auto"/>
          <w:sz w:val="32"/>
          <w:szCs w:val="32"/>
          <w:lang w:eastAsia="zh-CN"/>
        </w:rPr>
        <w:t>、</w:t>
      </w:r>
      <w:r>
        <w:rPr>
          <w:rFonts w:hint="eastAsia" w:eastAsia="仿宋_GB2312"/>
          <w:color w:val="auto"/>
          <w:sz w:val="32"/>
          <w:szCs w:val="32"/>
        </w:rPr>
        <w:t>在中国绿色电力证书认购平台上认购绿色电力证书代表电量</w:t>
      </w:r>
      <w:r>
        <w:rPr>
          <w:rFonts w:hint="eastAsia" w:eastAsia="仿宋_GB2312"/>
          <w:color w:val="auto"/>
          <w:sz w:val="32"/>
          <w:szCs w:val="32"/>
          <w:lang w:eastAsia="zh-CN"/>
        </w:rPr>
        <w:t>、应用自建可再生能源电站所发电力</w:t>
      </w:r>
      <w:r>
        <w:rPr>
          <w:rFonts w:hint="eastAsia" w:eastAsia="仿宋_GB2312"/>
          <w:color w:val="auto"/>
          <w:sz w:val="32"/>
          <w:szCs w:val="32"/>
        </w:rPr>
        <w:t>的总和与依据《电信互联网数据中心（IDC）的能耗测评方法》（YD/T2543-2013）规定测得的同时期内数据中心总耗电量的比值，不低于</w:t>
      </w:r>
      <w:r>
        <w:rPr>
          <w:rFonts w:hint="eastAsia" w:eastAsia="仿宋_GB2312"/>
          <w:color w:val="auto"/>
          <w:sz w:val="32"/>
          <w:szCs w:val="32"/>
          <w:lang w:val="en-US" w:eastAsia="zh-CN"/>
        </w:rPr>
        <w:t>4</w:t>
      </w:r>
      <w:r>
        <w:rPr>
          <w:rFonts w:hint="eastAsia" w:eastAsia="仿宋_GB2312"/>
          <w:color w:val="auto"/>
          <w:sz w:val="32"/>
          <w:szCs w:val="32"/>
        </w:rPr>
        <w:t>0%得1分。</w:t>
      </w:r>
      <w:r>
        <w:rPr>
          <w:rFonts w:hint="eastAsia" w:eastAsia="仿宋_GB2312"/>
          <w:color w:val="auto"/>
          <w:sz w:val="32"/>
          <w:szCs w:val="32"/>
          <w:lang w:eastAsia="zh-CN"/>
        </w:rPr>
        <w:t>使用梯级利用的锂离子电池作为后备电源且占后备电源容量不低于</w:t>
      </w:r>
      <w:r>
        <w:rPr>
          <w:rFonts w:hint="eastAsia" w:eastAsia="仿宋_GB2312"/>
          <w:color w:val="auto"/>
          <w:sz w:val="32"/>
          <w:szCs w:val="32"/>
          <w:lang w:val="en-US" w:eastAsia="zh-CN"/>
        </w:rPr>
        <w:t>10%的得1分。开展余热回收并实际应用能量占数据中心总耗电量10%以上得1分。以上三项得分累加为该项指标得分。</w:t>
      </w:r>
    </w:p>
    <w:p>
      <w:pPr>
        <w:spacing w:line="360" w:lineRule="auto"/>
        <w:ind w:firstLine="640" w:firstLineChars="200"/>
        <w:rPr>
          <w:rFonts w:eastAsia="仿宋_GB2312"/>
          <w:color w:val="auto"/>
          <w:sz w:val="32"/>
          <w:szCs w:val="32"/>
        </w:rPr>
      </w:pPr>
      <w:r>
        <w:rPr>
          <w:rFonts w:eastAsia="仿宋_GB2312"/>
          <w:color w:val="auto"/>
          <w:sz w:val="32"/>
          <w:szCs w:val="32"/>
        </w:rPr>
        <w:t>17</w:t>
      </w:r>
      <w:r>
        <w:rPr>
          <w:rFonts w:hint="eastAsia" w:eastAsia="仿宋_GB2312"/>
          <w:color w:val="auto"/>
          <w:sz w:val="32"/>
          <w:szCs w:val="32"/>
        </w:rPr>
        <w:t>.</w:t>
      </w:r>
      <w:r>
        <w:rPr>
          <w:rFonts w:hint="eastAsia"/>
          <w:color w:val="auto"/>
        </w:rPr>
        <w:t xml:space="preserve"> </w:t>
      </w:r>
      <w:r>
        <w:rPr>
          <w:rFonts w:hint="eastAsia" w:eastAsia="仿宋_GB2312"/>
          <w:color w:val="auto"/>
          <w:sz w:val="32"/>
          <w:szCs w:val="32"/>
        </w:rPr>
        <w:t>标准等绿色公共服务</w:t>
      </w:r>
    </w:p>
    <w:p>
      <w:pPr>
        <w:pStyle w:val="5"/>
        <w:autoSpaceDE w:val="0"/>
        <w:autoSpaceDN w:val="0"/>
        <w:spacing w:line="360" w:lineRule="auto"/>
        <w:ind w:firstLine="636" w:firstLineChars="199"/>
        <w:jc w:val="left"/>
        <w:rPr>
          <w:rFonts w:eastAsia="仿宋_GB2312"/>
          <w:color w:val="auto"/>
          <w:sz w:val="32"/>
          <w:szCs w:val="32"/>
        </w:rPr>
      </w:pPr>
      <w:r>
        <w:rPr>
          <w:rFonts w:hint="eastAsia" w:eastAsia="仿宋_GB2312"/>
          <w:color w:val="auto"/>
          <w:sz w:val="32"/>
          <w:szCs w:val="32"/>
        </w:rPr>
        <w:t>所申报数据中心围绕绿色数据中心建设主题，通过支持行业会议、参与研究制定相关标准规范等形式公开分享自身发展经验，促进数据中心行业绿色发展。根据相关情况得0-2分。</w:t>
      </w:r>
    </w:p>
    <w:p>
      <w:pPr>
        <w:spacing w:line="360" w:lineRule="auto"/>
        <w:ind w:firstLine="640" w:firstLineChars="200"/>
        <w:rPr>
          <w:rFonts w:eastAsia="仿宋_GB2312"/>
          <w:color w:val="auto"/>
          <w:sz w:val="32"/>
          <w:szCs w:val="32"/>
        </w:rPr>
      </w:pPr>
    </w:p>
    <w:p>
      <w:pPr>
        <w:rPr>
          <w:color w:val="auto"/>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7</w:t>
                          </w:r>
                          <w:r>
                            <w:rPr>
                              <w:rFonts w:hint="eastAsia"/>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7</w:t>
                    </w:r>
                    <w:r>
                      <w:rPr>
                        <w:rFonts w:hint="eastAsia"/>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5ACE3"/>
    <w:multiLevelType w:val="singleLevel"/>
    <w:tmpl w:val="CF55ACE3"/>
    <w:lvl w:ilvl="0" w:tentative="0">
      <w:start w:val="15"/>
      <w:numFmt w:val="decimal"/>
      <w:suff w:val="space"/>
      <w:lvlText w:val="%1."/>
      <w:lvlJc w:val="left"/>
    </w:lvl>
  </w:abstractNum>
  <w:abstractNum w:abstractNumId="1">
    <w:nsid w:val="4D73356F"/>
    <w:multiLevelType w:val="singleLevel"/>
    <w:tmpl w:val="4D73356F"/>
    <w:lvl w:ilvl="0" w:tentative="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5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_Style 1"/>
    <w:basedOn w:val="1"/>
    <w:qFormat/>
    <w:uiPriority w:val="34"/>
    <w:pPr>
      <w:ind w:firstLine="420" w:firstLineChars="200"/>
    </w:pPr>
  </w:style>
  <w:style w:type="paragraph" w:customStyle="1" w:styleId="6">
    <w:name w:val="_Style 4"/>
    <w:basedOn w:val="1"/>
    <w:qFormat/>
    <w:uiPriority w:val="34"/>
    <w:pPr>
      <w:ind w:firstLine="420" w:firstLineChars="200"/>
    </w:pPr>
  </w:style>
  <w:style w:type="character" w:customStyle="1" w:styleId="7">
    <w:name w:val="font31"/>
    <w:basedOn w:val="4"/>
    <w:qFormat/>
    <w:uiPriority w:val="0"/>
    <w:rPr>
      <w:rFonts w:hint="default" w:ascii="仿宋_GB2312" w:eastAsia="仿宋_GB2312" w:cs="仿宋_GB2312"/>
      <w:color w:val="000000"/>
      <w:sz w:val="24"/>
      <w:szCs w:val="24"/>
      <w:u w:val="none"/>
    </w:rPr>
  </w:style>
  <w:style w:type="character" w:customStyle="1" w:styleId="8">
    <w:name w:val="font2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2021-12-03T06:07:13Z</dcterms:created>
  <dc:creator>lenovo</dc:creator>
  <cp:lastModifiedBy>tanj0997</cp:lastModifiedBy>
  <dcterms:modified xsi:type="dcterms:W3CDTF">2021-12-03T06:07:40Z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83210FD6FE504ED1A9C9EFC7F914080C</vt:lpwstr>
  </property>
</Properties>
</file>